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rPr/>
      </w:pPr>
      <w:r>
        <w:rPr/>
        <w:t xml:space="preserve">Санитарно-защитная зона: </w:t>
      </w:r>
      <w:r>
        <w:rPr>
          <w:rtl w:val="off"/>
        </w:rPr>
        <w:t>проект нового Постановления Правительства РФ в 2021 году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Роспотребнадзор внес 30 декабря 2020 г. проект нового Положения о санитарно-защитных зонах (СЗЗ) взамен действующего Постановления Правительства РФ от 03.03.2018 № 222 (с Правилами их установления).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Разработчик продекларировал снижение финансовой и организационной нагрузки на предпринимателей в результате актуализации требований к СЗЗ, учет результатов оценки риска здоровью населения и социально-гигиенического мониторинга. Разбираемся, что решил изменить законодатель в действующих Правилах.</w:t>
      </w:r>
    </w:p>
    <w:p>
      <w:pPr>
        <w:pStyle w:val="21"/>
        <w:rPr/>
      </w:pPr>
      <w:r>
        <w:rPr/>
        <w:t>Электронная услуга по</w:t>
      </w:r>
      <w:r>
        <w:rPr>
          <w:rtl w:val="off"/>
        </w:rPr>
        <w:t> </w:t>
      </w:r>
      <w:r>
        <w:rPr/>
        <w:t>СЗЗ через</w:t>
      </w:r>
      <w:r>
        <w:rPr>
          <w:rtl w:val="off"/>
        </w:rPr>
        <w:t> </w:t>
      </w:r>
      <w:r>
        <w:rPr/>
        <w:t>«Единое окно»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Проект Постановления Правительства РФ устанавливает, что с 1 января 2022 года организации будут подавать заявления об установлении/изменении границ, прекращении санитарно-защитных зон в электронном виде, через «Интернет». Ведомства будут принимать бумажные пакеты только в том случае, если в прилагаемых документах содержится государственная тайна.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Электронный сервис пока не запущен. Предполагается, что это будет Единая платформа межведомственного взаимодействия, в которой уже представлены некоторые сведения из ЕГРН. 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Официальные данные об установленных границах СЗЗ размещают на сайтах территориальных управлений Роспотребнадзора, кроме отнесенных к гостайне.</w:t>
      </w:r>
    </w:p>
    <w:p>
      <w:pPr>
        <w:pStyle w:val="21"/>
        <w:rPr/>
      </w:pPr>
      <w:r>
        <w:rPr/>
        <w:t>Как по-новому определяют СЗЗ?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Санитарно-защитные зоны устанавливают за пределами земельных участков, занятых промышленными объектами, участками недр, полосами отвода автодорог и железнодорожных путей. Это территории, в границах которых вредное воздействие химических, физических и/или биологических факторов превышает </w:t>
      </w:r>
      <w:r>
        <w:rPr>
          <w:b/>
          <w:bCs/>
          <w:rtl w:val="off"/>
        </w:rPr>
        <w:t>0,1 ПДК и/или ПДУ.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Законодатель заботится о здоровье населения и </w:t>
      </w:r>
      <w:r>
        <w:rPr>
          <w:b/>
          <w:bCs/>
          <w:rtl w:val="off"/>
        </w:rPr>
        <w:t>запрещает в границах СЗЗ</w:t>
      </w:r>
      <w:r>
        <w:rPr>
          <w:rtl w:val="off"/>
        </w:rPr>
        <w:t>: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  <w:rPr>
          <w:rtl w:val="off"/>
        </w:rPr>
      </w:pPr>
      <w:r>
        <w:rPr>
          <w:rtl w:val="off"/>
        </w:rPr>
        <w:t>строительство жилых домов, игровых и спортивных площадок;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  <w:rPr>
          <w:rtl w:val="off"/>
        </w:rPr>
      </w:pPr>
      <w:r>
        <w:rPr>
          <w:rtl w:val="off"/>
        </w:rPr>
        <w:t>деятельность медицинских, образовательных, оздоровительных, социальных учреждений;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  <w:rPr>
          <w:rtl w:val="off"/>
        </w:rPr>
      </w:pPr>
      <w:r>
        <w:rPr>
          <w:rtl w:val="off"/>
        </w:rPr>
        <w:t>ведение садоводства и огородничества;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  <w:rPr>
          <w:rtl w:val="off"/>
        </w:rPr>
      </w:pPr>
      <w:r>
        <w:rPr>
          <w:rtl w:val="off"/>
        </w:rPr>
        <w:t>размещение воинских казарм, исправительных колоний, санпропускников, мест временного содержания с круглосуточным пребыванием контингента;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  <w:rPr>
          <w:rtl w:val="off"/>
        </w:rPr>
      </w:pPr>
      <w:r>
        <w:rPr>
          <w:rtl w:val="off"/>
        </w:rPr>
        <w:t>производство и хранение лекарств, пищевых продуктов, селькохозяйственной продукции, воды, использование источников водоснабжения — когда СЗЗ установлена по химическим и/или биологическим факторам;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  <w:rPr>
          <w:rtl w:val="off"/>
        </w:rPr>
      </w:pPr>
      <w:r>
        <w:rPr>
          <w:rtl w:val="off"/>
        </w:rPr>
        <w:t>использование земельных участков под пастбища, скотопрогоны, любое строительство или ведение сельского хозяйства — на СЗЗ скотомогильников с сибирской язвой.</w:t>
      </w:r>
    </w:p>
    <w:p>
      <w:pPr>
        <w:pStyle w:val="31"/>
        <w:rPr/>
      </w:pPr>
      <w:r>
        <w:rPr/>
        <w:t>Установление и</w:t>
      </w:r>
      <w:r>
        <w:rPr>
          <w:rtl w:val="off"/>
        </w:rPr>
        <w:t> </w:t>
      </w:r>
      <w:r>
        <w:rPr/>
        <w:t>изменение границ СЗЗ</w:t>
      </w:r>
    </w:p>
    <w:p>
      <w:pPr>
        <w:rPr>
          <w:rtl w:val="off"/>
        </w:rPr>
      </w:pPr>
      <w:r>
        <w:rPr>
          <w:rtl w:val="off"/>
        </w:rPr>
        <w:t xml:space="preserve">Размеры санитарно-защитной зоны определяют </w:t>
      </w:r>
      <w:r>
        <w:rPr>
          <w:b/>
          <w:bCs/>
          <w:rtl w:val="off"/>
        </w:rPr>
        <w:t>расчетным путем</w:t>
      </w:r>
      <w:r>
        <w:rPr>
          <w:rtl w:val="off"/>
        </w:rPr>
        <w:t xml:space="preserve"> в порядке, установленном в разделе II Положения. Исключение делают при одновременном выполнении условий:</w:t>
      </w:r>
    </w:p>
    <w:p>
      <w:pPr>
        <w:pStyle w:val="af3"/>
        <w:ind w:leftChars="0"/>
        <w:numPr>
          <w:ilvl w:val="0"/>
          <w:numId w:val="2"/>
        </w:numPr>
        <w:rPr>
          <w:rtl w:val="off"/>
        </w:rPr>
      </w:pPr>
      <w:r>
        <w:rPr>
          <w:rtl w:val="off"/>
        </w:rPr>
        <w:t>объект отнесен к I—V классу опасности,</w:t>
      </w:r>
    </w:p>
    <w:p>
      <w:pPr>
        <w:pStyle w:val="af3"/>
        <w:ind w:leftChars="0"/>
        <w:numPr>
          <w:ilvl w:val="0"/>
          <w:numId w:val="2"/>
        </w:numPr>
        <w:rPr>
          <w:rtl w:val="off"/>
        </w:rPr>
      </w:pPr>
      <w:r>
        <w:rPr>
          <w:rtl w:val="off"/>
        </w:rPr>
        <w:t>расположен за пределами населенных пунктов,</w:t>
      </w:r>
    </w:p>
    <w:p>
      <w:pPr>
        <w:pStyle w:val="af3"/>
        <w:ind w:leftChars="0"/>
        <w:numPr>
          <w:ilvl w:val="0"/>
          <w:numId w:val="2"/>
        </w:numPr>
        <w:rPr>
          <w:rtl w:val="off"/>
        </w:rPr>
      </w:pPr>
      <w:r>
        <w:rPr>
          <w:rtl w:val="off"/>
        </w:rPr>
        <w:t>расстояния от него до ближайших нормируемых объектов превышают в 10 и более раз фиксированные размеры СЗЗ в п. 9.</w:t>
      </w:r>
    </w:p>
    <w:p>
      <w:pPr>
        <w:ind w:leftChars="0"/>
        <w:rPr>
          <w:rtl w:val="off"/>
        </w:rPr>
      </w:pPr>
      <w:r>
        <w:rPr>
          <w:rtl w:val="off"/>
        </w:rPr>
        <w:t xml:space="preserve">В этом случае размеры санитарно-защитной зоны </w:t>
      </w:r>
      <w:r>
        <w:rPr>
          <w:b/>
          <w:bCs/>
          <w:rtl w:val="off"/>
        </w:rPr>
        <w:t>утверждают по п. 9 Положения:</w:t>
      </w:r>
    </w:p>
    <w:p>
      <w:pPr>
        <w:pStyle w:val="af3"/>
        <w:ind w:leftChars="0"/>
        <w:numPr>
          <w:ilvl w:val="0"/>
          <w:numId w:val="3"/>
        </w:numPr>
        <w:rPr>
          <w:rtl w:val="off"/>
        </w:rPr>
      </w:pPr>
      <w:r>
        <w:rPr>
          <w:rtl w:val="off"/>
        </w:rPr>
        <w:t>I класс опасности — 1000 м;</w:t>
      </w:r>
    </w:p>
    <w:p>
      <w:pPr>
        <w:pStyle w:val="af3"/>
        <w:ind w:leftChars="0"/>
        <w:numPr>
          <w:ilvl w:val="0"/>
          <w:numId w:val="3"/>
        </w:numPr>
        <w:rPr>
          <w:rtl w:val="off"/>
        </w:rPr>
      </w:pPr>
      <w:r>
        <w:rPr>
          <w:rtl w:val="off"/>
        </w:rPr>
        <w:t>II — 500 м;</w:t>
      </w:r>
    </w:p>
    <w:p>
      <w:pPr>
        <w:pStyle w:val="af3"/>
        <w:ind w:leftChars="0"/>
        <w:numPr>
          <w:ilvl w:val="0"/>
          <w:numId w:val="3"/>
        </w:numPr>
        <w:rPr>
          <w:rtl w:val="off"/>
        </w:rPr>
      </w:pPr>
      <w:r>
        <w:rPr>
          <w:rtl w:val="off"/>
        </w:rPr>
        <w:t>III — 300 м;</w:t>
      </w:r>
    </w:p>
    <w:p>
      <w:pPr>
        <w:pStyle w:val="af3"/>
        <w:ind w:leftChars="0"/>
        <w:numPr>
          <w:ilvl w:val="0"/>
          <w:numId w:val="3"/>
        </w:numPr>
        <w:rPr>
          <w:rtl w:val="off"/>
        </w:rPr>
      </w:pPr>
      <w:r>
        <w:rPr>
          <w:rtl w:val="off"/>
        </w:rPr>
        <w:t>IV — 100 м;</w:t>
      </w:r>
    </w:p>
    <w:p>
      <w:pPr>
        <w:pStyle w:val="af3"/>
        <w:ind w:leftChars="0"/>
        <w:numPr>
          <w:ilvl w:val="0"/>
          <w:numId w:val="3"/>
        </w:numPr>
        <w:rPr>
          <w:rtl w:val="off"/>
        </w:rPr>
      </w:pPr>
      <w:r>
        <w:rPr>
          <w:rtl w:val="off"/>
        </w:rPr>
        <w:t>V — 50 м.</w:t>
      </w:r>
    </w:p>
    <w:p>
      <w:pPr>
        <w:rPr>
          <w:rtl w:val="off"/>
        </w:rPr>
      </w:pPr>
      <w:r>
        <w:rPr>
          <w:rtl w:val="off"/>
        </w:rPr>
        <w:t>Установленные границы СЗЗ в течение года подтверждают результатами лабораторных исследований (измерений) в рамках производственного контроля над соблюдением санитарных норм. Протоколы представляют в территориальные органы Роспотребнадзора в течение 30 дней после завершения замеров.</w:t>
      </w:r>
    </w:p>
    <w:p>
      <w:pPr>
        <w:rPr>
          <w:b/>
          <w:bCs/>
          <w:rtl w:val="off"/>
        </w:rPr>
      </w:pPr>
      <w:r>
        <w:rPr>
          <w:b/>
          <w:bCs/>
          <w:rtl w:val="off"/>
        </w:rPr>
        <w:t>Решение об изменении/сохранении границ СЗЗ принимают по результатам анализа результатов лабораторных исследований.</w:t>
      </w:r>
    </w:p>
    <w:p>
      <w:pPr>
        <w:pStyle w:val="21"/>
        <w:rPr/>
      </w:pPr>
      <w:r>
        <w:rPr/>
        <w:t>А</w:t>
      </w:r>
      <w:r>
        <w:rPr>
          <w:rtl w:val="off"/>
        </w:rPr>
        <w:t> </w:t>
      </w:r>
      <w:r>
        <w:rPr/>
        <w:t>что будет с</w:t>
      </w:r>
      <w:r>
        <w:rPr>
          <w:rtl w:val="off"/>
        </w:rPr>
        <w:t> </w:t>
      </w:r>
      <w:r>
        <w:rPr/>
        <w:t>СЗЗ, границы которых уже установлены?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Действующие санитарно-защитные зоны продолжают существовать в прежних пределах. Организации, муниципалитеты или другие заинтересованные лица </w:t>
      </w:r>
      <w:r>
        <w:rPr>
          <w:b/>
          <w:bCs/>
          <w:rtl w:val="off"/>
        </w:rPr>
        <w:t xml:space="preserve">имеют право </w:t>
      </w:r>
      <w:r>
        <w:rPr>
          <w:rtl w:val="off"/>
        </w:rPr>
        <w:t>обратиться с заявлением об изменении границ или отмене СЗЗ, но законодатель не обязывает это делать.</w:t>
      </w:r>
    </w:p>
    <w:p>
      <w:pPr>
        <w:spacing w:after="160" w:line="259" w:lineRule="auto"/>
        <w:rPr>
          <w:b/>
          <w:bCs/>
          <w:rtl w:val="off"/>
        </w:rPr>
      </w:pPr>
      <w:r>
        <w:rPr>
          <w:b/>
          <w:bCs/>
          <w:rtl w:val="off"/>
        </w:rPr>
        <w:t>Мы рекомендуем правообладателям оценить, какой вариант для них выгоднее, изучив проект нового Положения.</w:t>
      </w:r>
    </w:p>
    <w:p>
      <w:pPr>
        <w:spacing w:after="160" w:line="259" w:lineRule="auto"/>
        <w:rPr>
          <w:b/>
          <w:bCs/>
          <w:rtl w:val="off"/>
        </w:rPr>
      </w:pPr>
      <w:r>
        <w:rPr>
          <w:b/>
          <w:bCs/>
          <w:rtl w:val="off"/>
        </w:rPr>
        <w:t>***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Документ проходил публичные обсуждения до конца января 2021 года. Текст в окончательной редакции размещен на официальном портале для публикации проектов нормативных актов </w:t>
      </w:r>
      <w:r>
        <w:fldChar w:fldCharType="begin"/>
      </w:r>
      <w:r>
        <w:instrText xml:space="preserve"> HYPERLINK "https://regulation.gov.ru/projects/List/AdvancedSearch#search=02/07/12-20/00112129&amp;departments=35&amp;npa=112129" </w:instrText>
      </w:r>
      <w:r>
        <w:fldChar w:fldCharType="separate"/>
      </w:r>
      <w:r>
        <w:rPr>
          <w:rStyle w:val="afa"/>
          <w:rFonts w:ascii="Calibri" w:eastAsia="맑은 고딕" w:hAnsi="Calibri" w:cs="Arial"/>
        </w:rPr>
        <w:t>https://regulation.gov.ru/</w:t>
      </w:r>
      <w:r>
        <w:fldChar w:fldCharType="end"/>
      </w:r>
      <w:r>
        <w:rPr>
          <w:rtl w:val="off"/>
        </w:rPr>
        <w:t>. Заявлено, что новое Положение о СЗЗ вступит в силу с 1 января 2022 года.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Законодатель обещает поменять порядок установления санитарно-защитных зон еще с 2019 года. Станет ли новое Положение о СЗЗ работающим документом или пополнит список «замороженных» проектов, спрогнозировать трудно. </w:t>
      </w:r>
    </w:p>
    <w:p>
      <w:pPr>
        <w:spacing w:after="160" w:line="259" w:lineRule="auto"/>
        <w:rPr>
          <w:b/>
          <w:bCs/>
          <w:rtl w:val="off"/>
        </w:rPr>
      </w:pPr>
      <w:r>
        <w:rPr>
          <w:b/>
          <w:bCs/>
          <w:rtl w:val="off"/>
        </w:rPr>
        <w:t>СПРАВОЧНО. Постановление Правительства РФ от 03.03.2018 № 222 входит в список НПА, не попадающих под действие «регуляторной гильотины». Надзорные органы будут проверять соблюдение его требований до 1 января 2022 года.</w:t>
      </w:r>
    </w:p>
    <w:p>
      <w:pPr>
        <w:spacing w:after="160" w:line="259" w:lineRule="auto"/>
        <w:rPr>
          <w:b w:val="0"/>
          <w:bCs w:val="0"/>
          <w:u w:val="single" w:color="auto"/>
          <w:rtl w:val="off"/>
        </w:rPr>
      </w:pPr>
      <w:r>
        <w:rPr>
          <w:b w:val="0"/>
          <w:bCs w:val="0"/>
          <w:u w:val="single" w:color="auto"/>
          <w:rtl w:val="off"/>
        </w:rPr>
        <w:t>Скачать проект Постановления Правительства РФ об установлении санитарно-защитных зон.</w:t>
      </w:r>
    </w:p>
    <w:p>
      <w:pPr>
        <w:spacing w:after="160" w:line="259" w:lineRule="auto"/>
        <w:rPr>
          <w:b/>
          <w:bCs/>
          <w:u w:val="none" w:color="auto"/>
          <w:rtl w:val="off"/>
        </w:rPr>
      </w:pPr>
      <w:r>
        <w:rPr>
          <w:b/>
          <w:bCs/>
          <w:u w:val="none" w:color="auto"/>
          <w:rtl w:val="off"/>
        </w:rPr>
        <w:t>Ссылки на проверки:</w:t>
      </w:r>
    </w:p>
    <w:p>
      <w:pPr>
        <w:spacing w:after="160" w:line="259" w:lineRule="auto"/>
        <w:rPr>
          <w:b w:val="0"/>
          <w:bCs w:val="0"/>
          <w:u w:val="none" w:color="auto"/>
          <w:rtl w:val="off"/>
        </w:rPr>
      </w:pPr>
      <w:r>
        <w:rPr>
          <w:b w:val="0"/>
          <w:bCs w:val="0"/>
          <w:u w:val="none" w:color="auto"/>
          <w:rtl w:val="off"/>
        </w:rPr>
        <w:t xml:space="preserve">Тургенев — 4 </w:t>
      </w:r>
      <w:r>
        <w:rPr>
          <w:b w:val="0"/>
          <w:bCs w:val="0"/>
          <w:u w:val="none" w:color="auto"/>
          <w:rtl w:val="off"/>
        </w:rPr>
        <w:fldChar w:fldCharType="begin"/>
      </w:r>
      <w:r>
        <w:rPr>
          <w:b w:val="0"/>
          <w:bCs w:val="0"/>
          <w:u w:val="none" w:color="auto"/>
          <w:rtl w:val="off"/>
        </w:rPr>
        <w:instrText xml:space="preserve"> HYPERLINK "https://yadi.sk/i/f2LyBuY2LrMVig" </w:instrText>
      </w:r>
      <w:r>
        <w:rPr>
          <w:b w:val="0"/>
          <w:bCs w:val="0"/>
          <w:u w:val="none" w:color="auto"/>
          <w:rtl w:val="off"/>
        </w:rPr>
        <w:fldChar w:fldCharType="separate"/>
      </w:r>
      <w:r>
        <w:rPr>
          <w:rStyle w:val="afa"/>
          <w:rFonts w:ascii="Calibri" w:eastAsia="맑은 고딕" w:hAnsi="Calibri" w:cs="Arial"/>
          <w:b w:val="0"/>
          <w:bCs w:val="0"/>
          <w:rtl w:val="off"/>
        </w:rPr>
        <w:t>https://yadi.sk/i/f2LyBuY2LrMVig</w:t>
      </w:r>
      <w:r>
        <w:rPr>
          <w:b w:val="0"/>
          <w:bCs w:val="0"/>
          <w:u w:val="none" w:color="auto"/>
          <w:rtl w:val="off"/>
        </w:rPr>
        <w:fldChar w:fldCharType="end"/>
      </w:r>
    </w:p>
    <w:p>
      <w:pPr>
        <w:spacing w:after="160" w:line="259" w:lineRule="auto"/>
        <w:rPr>
          <w:b w:val="0"/>
          <w:bCs w:val="0"/>
          <w:u w:val="none" w:color="auto"/>
          <w:rtl w:val="off"/>
        </w:rPr>
      </w:pPr>
      <w:r>
        <w:rPr>
          <w:b w:val="0"/>
          <w:bCs w:val="0"/>
          <w:u w:val="none" w:color="auto"/>
          <w:rtl w:val="off"/>
        </w:rPr>
        <w:t xml:space="preserve">Текст.ру — 85,14% </w:t>
      </w:r>
      <w:r>
        <w:rPr>
          <w:b w:val="0"/>
          <w:bCs w:val="0"/>
          <w:u w:val="none" w:color="auto"/>
          <w:rtl w:val="off"/>
        </w:rPr>
        <w:fldChar w:fldCharType="begin"/>
      </w:r>
      <w:r>
        <w:rPr>
          <w:b w:val="0"/>
          <w:bCs w:val="0"/>
          <w:u w:val="none" w:color="auto"/>
          <w:rtl w:val="off"/>
        </w:rPr>
        <w:instrText xml:space="preserve"> HYPERLINK "https://yadi.sk/i/NOLdvJljFCi1SA" </w:instrText>
      </w:r>
      <w:r>
        <w:rPr>
          <w:b w:val="0"/>
          <w:bCs w:val="0"/>
          <w:u w:val="none" w:color="auto"/>
          <w:rtl w:val="off"/>
        </w:rPr>
        <w:fldChar w:fldCharType="separate"/>
      </w:r>
      <w:r>
        <w:rPr>
          <w:rStyle w:val="afa"/>
          <w:rFonts w:ascii="Calibri" w:eastAsia="맑은 고딕" w:hAnsi="Calibri" w:cs="Arial"/>
          <w:b w:val="0"/>
          <w:bCs w:val="0"/>
          <w:rtl w:val="off"/>
        </w:rPr>
        <w:t>https://yadi.sk/i/NOLdvJljFCi1SA</w:t>
      </w:r>
      <w:r>
        <w:rPr>
          <w:b w:val="0"/>
          <w:bCs w:val="0"/>
          <w:u w:val="none" w:color="auto"/>
          <w:rtl w:val="off"/>
        </w:rPr>
        <w:fldChar w:fldCharType="end"/>
      </w:r>
    </w:p>
    <w:p>
      <w:pPr>
        <w:spacing w:after="160" w:line="259" w:lineRule="auto"/>
        <w:rPr>
          <w:b w:val="0"/>
          <w:bCs w:val="0"/>
          <w:u w:val="none" w:color="auto"/>
          <w:rtl w:val="off"/>
        </w:rPr>
      </w:pPr>
      <w:r>
        <w:rPr>
          <w:b w:val="0"/>
          <w:bCs w:val="0"/>
          <w:u w:val="none" w:color="auto"/>
          <w:rtl w:val="off"/>
        </w:rPr>
        <w:t xml:space="preserve">Текстовод — 79% </w:t>
      </w:r>
      <w:r>
        <w:rPr>
          <w:b w:val="0"/>
          <w:bCs w:val="0"/>
          <w:u w:val="none" w:color="auto"/>
          <w:rtl w:val="off"/>
        </w:rPr>
        <w:fldChar w:fldCharType="begin"/>
      </w:r>
      <w:r>
        <w:rPr>
          <w:b w:val="0"/>
          <w:bCs w:val="0"/>
          <w:u w:val="none" w:color="auto"/>
          <w:rtl w:val="off"/>
        </w:rPr>
        <w:instrText xml:space="preserve"> HYPERLINK "https://yadi.sk/i/deeLrhaTJmpX2Q" </w:instrText>
      </w:r>
      <w:r>
        <w:rPr>
          <w:b w:val="0"/>
          <w:bCs w:val="0"/>
          <w:u w:val="none" w:color="auto"/>
          <w:rtl w:val="off"/>
        </w:rPr>
        <w:fldChar w:fldCharType="separate"/>
      </w:r>
      <w:r>
        <w:rPr>
          <w:rStyle w:val="afa"/>
          <w:rFonts w:ascii="Calibri" w:eastAsia="맑은 고딕" w:hAnsi="Calibri" w:cs="Arial"/>
          <w:b w:val="0"/>
          <w:bCs w:val="0"/>
          <w:rtl w:val="off"/>
        </w:rPr>
        <w:t>https://yadi.sk/i/deeLrhaTJmpX2Q</w:t>
      </w:r>
      <w:r>
        <w:rPr>
          <w:b w:val="0"/>
          <w:bCs w:val="0"/>
          <w:u w:val="none" w:color="auto"/>
          <w:rtl w:val="off"/>
        </w:rPr>
        <w:fldChar w:fldCharType="end"/>
      </w:r>
    </w:p>
    <w:p>
      <w:pPr>
        <w:spacing w:after="160" w:line="259" w:lineRule="auto"/>
        <w:rPr>
          <w:b w:val="0"/>
          <w:bCs w:val="0"/>
          <w:u w:val="none" w:color="auto"/>
          <w:rtl w:val="off"/>
        </w:rPr>
      </w:pPr>
      <w:r>
        <w:rPr>
          <w:b w:val="0"/>
          <w:bCs w:val="0"/>
          <w:u w:val="none" w:color="auto"/>
          <w:rtl w:val="off"/>
        </w:rPr>
        <w:t xml:space="preserve">Контент.вотч — 94,3% </w:t>
      </w:r>
      <w:r>
        <w:rPr>
          <w:b w:val="0"/>
          <w:bCs w:val="0"/>
          <w:u w:val="none" w:color="auto"/>
          <w:rtl w:val="off"/>
        </w:rPr>
        <w:fldChar w:fldCharType="begin"/>
      </w:r>
      <w:r>
        <w:rPr>
          <w:b w:val="0"/>
          <w:bCs w:val="0"/>
          <w:u w:val="none" w:color="auto"/>
          <w:rtl w:val="off"/>
        </w:rPr>
        <w:instrText xml:space="preserve"> HYPERLINK "https://yadi.sk/i/v87q7AJ2X8n_aQ" </w:instrText>
      </w:r>
      <w:r>
        <w:rPr>
          <w:b w:val="0"/>
          <w:bCs w:val="0"/>
          <w:u w:val="none" w:color="auto"/>
          <w:rtl w:val="off"/>
        </w:rPr>
        <w:fldChar w:fldCharType="separate"/>
      </w:r>
      <w:r>
        <w:rPr>
          <w:rStyle w:val="afa"/>
          <w:rFonts w:ascii="Calibri" w:eastAsia="맑은 고딕" w:hAnsi="Calibri" w:cs="Arial"/>
          <w:b w:val="0"/>
          <w:bCs w:val="0"/>
          <w:rtl w:val="off"/>
        </w:rPr>
        <w:t>https://yadi.sk/i/v87q7AJ2X8n_aQ</w:t>
      </w:r>
      <w:r>
        <w:rPr>
          <w:b w:val="0"/>
          <w:bCs w:val="0"/>
          <w:u w:val="none" w:color="auto"/>
          <w:rtl w:val="off"/>
        </w:rPr>
        <w:fldChar w:fldCharType="end"/>
      </w:r>
    </w:p>
    <w:p>
      <w:pPr>
        <w:spacing w:after="160" w:line="259" w:lineRule="auto"/>
        <w:rPr>
          <w:b w:val="0"/>
          <w:bCs w:val="0"/>
          <w:u w:val="none" w:color="auto"/>
        </w:rPr>
      </w:pPr>
    </w:p>
    <w:sectPr>
      <w:pgSz w:w="11906" w:h="16838"/>
      <w:pgMar w:top="147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eff9a0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32">
    <w:name w:val="Заголовок 3 Знак"/>
    <w:basedOn w:val="a2"/>
    <w:link w:val="heading 3"/>
    <w:rPr>
      <w:rFonts w:asciiTheme="majorHAnsi" w:eastAsiaTheme="majorEastAsia" w:hAnsiTheme="majorHAnsi" w:cstheme="majorBidi"/>
      <w:color w:val="182F4B"/>
      <w:sz w:val="24"/>
      <w:szCs w:val="24"/>
    </w:rPr>
  </w:style>
  <w:style w:type="character" w:customStyle="1" w:styleId="10">
    <w:name w:val="Заголовок 1 Знак"/>
    <w:basedOn w:val="a2"/>
    <w:link w:val="heading 1"/>
    <w:rPr>
      <w:rFonts w:asciiTheme="majorHAnsi" w:eastAsiaTheme="majorEastAsia" w:hAnsiTheme="majorHAnsi" w:cstheme="majorBidi"/>
      <w:color w:val="254771"/>
      <w:sz w:val="32"/>
      <w:szCs w:val="32"/>
    </w:rPr>
  </w:style>
  <w:style w:type="character" w:customStyle="1" w:styleId="22">
    <w:name w:val="Заголовок 2 Знак"/>
    <w:basedOn w:val="a2"/>
    <w:link w:val="heading 2"/>
    <w:rPr>
      <w:rFonts w:asciiTheme="majorHAnsi" w:eastAsiaTheme="majorEastAsia" w:hAnsiTheme="majorHAnsi" w:cstheme="majorBidi"/>
      <w:color w:val="254771"/>
      <w:sz w:val="26"/>
      <w:szCs w:val="26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31">
    <w:name w:val="heading 3"/>
    <w:basedOn w:val="a1"/>
    <w:next w:val="a1"/>
    <w:link w:val="Заголовок 3 Знак"/>
    <w:qFormat/>
    <w:pPr>
      <w:keepNext/>
      <w:keepLines/>
      <w:outlineLvl w:val="2"/>
      <w:spacing w:after="0" w:before="40"/>
    </w:pPr>
    <w:rPr>
      <w:rFonts w:asciiTheme="majorHAnsi" w:eastAsiaTheme="majorEastAsia" w:hAnsiTheme="majorHAnsi" w:cstheme="majorBidi"/>
      <w:color w:val="182F4B"/>
      <w:sz w:val="24"/>
      <w:szCs w:val="24"/>
    </w:rPr>
  </w:style>
  <w:style w:type="paragraph" w:styleId="1">
    <w:name w:val="heading 1"/>
    <w:basedOn w:val="a1"/>
    <w:next w:val="a1"/>
    <w:link w:val="Заголовок 1 Знак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254771"/>
      <w:sz w:val="32"/>
      <w:szCs w:val="32"/>
    </w:rPr>
  </w:style>
  <w:style w:type="paragraph" w:styleId="21">
    <w:name w:val="heading 2"/>
    <w:basedOn w:val="a1"/>
    <w:next w:val="a1"/>
    <w:link w:val="Заголовок 2 Знак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254771"/>
      <w:sz w:val="26"/>
      <w:szCs w:val="26"/>
    </w:rPr>
  </w:style>
  <w:style w:type="character" w:styleId="afa">
    <w:name w:val="Hyperlink"/>
    <w:basedOn w:val="a2"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created xsi:type="dcterms:W3CDTF">2021-03-02T12:39:04Z</dcterms:created>
  <dcterms:modified xsi:type="dcterms:W3CDTF">2021-03-02T16:34:10Z</dcterms:modified>
  <cp:version>0900.0100.01</cp:version>
</cp:coreProperties>
</file>