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E5" w:rsidRPr="005068E5" w:rsidRDefault="005068E5" w:rsidP="005068E5">
      <w:pPr>
        <w:jc w:val="center"/>
        <w:rPr>
          <w:b/>
          <w:bCs/>
          <w:sz w:val="28"/>
          <w:szCs w:val="28"/>
        </w:rPr>
      </w:pPr>
      <w:r w:rsidRPr="005068E5">
        <w:rPr>
          <w:b/>
          <w:bCs/>
          <w:sz w:val="28"/>
          <w:szCs w:val="28"/>
        </w:rPr>
        <w:t>СВОДКА</w:t>
      </w:r>
    </w:p>
    <w:p w:rsidR="00433CEF" w:rsidRDefault="00433CEF" w:rsidP="00433CEF">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proofErr w:type="spellStart"/>
      <w:r w:rsidRPr="001D360B">
        <w:rPr>
          <w:b/>
          <w:bCs/>
          <w:sz w:val="28"/>
          <w:szCs w:val="28"/>
        </w:rPr>
        <w:t>текста проекта</w:t>
      </w:r>
      <w:proofErr w:type="spellEnd"/>
      <w:r w:rsidRPr="001D360B">
        <w:rPr>
          <w:b/>
          <w:bCs/>
          <w:sz w:val="28"/>
          <w:szCs w:val="28"/>
        </w:rPr>
        <w:t xml:space="preserve"> </w:t>
      </w:r>
      <w:bookmarkEnd w:id="0"/>
      <w:bookmarkEnd w:id="1"/>
      <w:r w:rsidRPr="005068E5">
        <w:rPr>
          <w:b/>
          <w:bCs/>
          <w:sz w:val="28"/>
          <w:szCs w:val="28"/>
        </w:rPr>
        <w:t xml:space="preserve">о подготовке нормативного правового акта </w:t>
      </w:r>
    </w:p>
    <w:p w:rsidR="00433CEF" w:rsidRPr="00682604" w:rsidRDefault="00433CEF" w:rsidP="00433CEF">
      <w:pPr>
        <w:jc w:val="center"/>
        <w:rPr>
          <w:sz w:val="28"/>
          <w:szCs w:val="28"/>
          <w:lang w:val="en-US"/>
        </w:rPr>
      </w:pPr>
      <w:r w:rsidRPr="00682604">
        <w:rPr>
          <w:sz w:val="28"/>
          <w:szCs w:val="28"/>
          <w:lang w:val="en-US"/>
        </w:rPr>
        <w:t>«</w:t>
      </w:r>
      <w:proofErr w:type="spellStart"/>
      <w:r w:rsidRPr="00EF0DCC">
        <w:rPr>
          <w:sz w:val="28"/>
          <w:szCs w:val="28"/>
          <w:lang w:val="en-US"/>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roofErr w:type="spellEnd"/>
      <w:r w:rsidRPr="00682604">
        <w:rPr>
          <w:sz w:val="28"/>
          <w:szCs w:val="28"/>
          <w:lang w:val="en-US"/>
        </w:rPr>
        <w:t>»</w:t>
      </w:r>
    </w:p>
    <w:p w:rsidR="00272233" w:rsidRPr="00682604" w:rsidRDefault="00272233" w:rsidP="00272233">
      <w:pPr>
        <w:rPr>
          <w:lang w:val="en-US"/>
        </w:rPr>
      </w:pPr>
      <w:r w:rsidRPr="001D360B">
        <w:rPr>
          <w:sz w:val="22"/>
          <w:szCs w:val="22"/>
          <w:lang w:val="en-US"/>
        </w:rPr>
        <w:t>ID</w:t>
      </w:r>
      <w:r w:rsidRPr="00682604">
        <w:rPr>
          <w:sz w:val="22"/>
          <w:szCs w:val="22"/>
          <w:lang w:val="en-US"/>
        </w:rPr>
        <w:t xml:space="preserve"> </w:t>
      </w:r>
      <w:r>
        <w:rPr>
          <w:sz w:val="22"/>
          <w:szCs w:val="22"/>
        </w:rPr>
        <w:t>проекта</w:t>
      </w:r>
      <w:r w:rsidRPr="00682604">
        <w:rPr>
          <w:sz w:val="22"/>
          <w:szCs w:val="22"/>
          <w:lang w:val="en-US"/>
        </w:rPr>
        <w:t>:</w:t>
      </w:r>
      <w:r w:rsidRPr="00682604">
        <w:rPr>
          <w:lang w:val="en-US"/>
        </w:rPr>
        <w:t xml:space="preserve"> </w:t>
      </w:r>
      <w:proofErr w:type="spellStart"/>
      <w:r w:rsidR="001D360B" w:rsidRPr="001D360B">
        <w:rPr>
          <w:b/>
          <w:sz w:val="22"/>
          <w:szCs w:val="22"/>
          <w:lang w:val="en-US"/>
        </w:rPr>
        <w:t>02/08/04-21/00114735</w:t>
      </w:r>
      <w:proofErr w:type="spellEnd"/>
    </w:p>
    <w:p w:rsidR="00272233" w:rsidRPr="00433CEF" w:rsidRDefault="00272233" w:rsidP="00272233">
      <w:r>
        <w:rPr>
          <w:sz w:val="22"/>
          <w:szCs w:val="22"/>
        </w:rPr>
        <w:t>Ссылка</w:t>
      </w:r>
      <w:r w:rsidRPr="00433CEF">
        <w:rPr>
          <w:sz w:val="22"/>
          <w:szCs w:val="22"/>
        </w:rPr>
        <w:t xml:space="preserve"> </w:t>
      </w:r>
      <w:r>
        <w:rPr>
          <w:sz w:val="22"/>
          <w:szCs w:val="22"/>
        </w:rPr>
        <w:t>на</w:t>
      </w:r>
      <w:r w:rsidRPr="00433CEF">
        <w:rPr>
          <w:sz w:val="22"/>
          <w:szCs w:val="22"/>
        </w:rPr>
        <w:t xml:space="preserve"> </w:t>
      </w:r>
      <w:r>
        <w:rPr>
          <w:sz w:val="22"/>
          <w:szCs w:val="22"/>
        </w:rPr>
        <w:t>проект</w:t>
      </w:r>
      <w:r w:rsidRPr="00433CEF">
        <w:rPr>
          <w:sz w:val="22"/>
          <w:szCs w:val="22"/>
        </w:rPr>
        <w:t>:</w:t>
      </w:r>
      <w:r w:rsidRPr="00433CEF">
        <w:t xml:space="preserve"> </w:t>
      </w:r>
      <w:proofErr w:type="spellStart"/>
      <w:hyperlink r:id="id2b8c99f5d5984ce3b85deff8d8ec74a9" w:history="1">
        <w:r w:rsidR="00072B9C" w:rsidRPr="001D360B">
          <w:rPr>
            <w:b/>
            <w:sz w:val="22"/>
            <w:szCs w:val="22"/>
            <w:lang w:val="en-US"/>
          </w:rPr>
          <w:t>https://regulation.gov.ru/p/114735</w:t>
        </w:r>
      </w:hyperlink>
      <w:proofErr w:type="spellEnd"/>
    </w:p>
    <w:p w:rsidR="00272233" w:rsidRDefault="00272233" w:rsidP="00272233">
      <w:r>
        <w:rPr>
          <w:sz w:val="22"/>
          <w:szCs w:val="22"/>
        </w:rPr>
        <w:t>Дата проведения публичного обсуждения:</w:t>
      </w:r>
      <w:r>
        <w:t xml:space="preserve"> </w:t>
      </w:r>
      <w:proofErr w:type="spellStart"/>
      <w:r w:rsidR="001D360B" w:rsidRPr="001D360B">
        <w:rPr>
          <w:b/>
          <w:sz w:val="22"/>
          <w:szCs w:val="22"/>
        </w:rPr>
        <w:t>09.04.2021</w:t>
      </w:r>
      <w:proofErr w:type="spellEnd"/>
      <w:r w:rsidR="001D360B" w:rsidRPr="001D360B">
        <w:rPr>
          <w:b/>
          <w:sz w:val="22"/>
          <w:szCs w:val="22"/>
        </w:rPr>
        <w:t xml:space="preserve"> </w:t>
      </w:r>
      <w:r w:rsidR="001D360B">
        <w:rPr>
          <w:b/>
          <w:sz w:val="22"/>
          <w:szCs w:val="22"/>
        </w:rPr>
        <w:t>–</w:t>
      </w:r>
      <w:r>
        <w:rPr>
          <w:b/>
          <w:sz w:val="22"/>
          <w:szCs w:val="22"/>
        </w:rPr>
        <w:t xml:space="preserve"> </w:t>
      </w:r>
      <w:proofErr w:type="spellStart"/>
      <w:r w:rsidR="001D360B" w:rsidRPr="001D360B">
        <w:rPr>
          <w:b/>
          <w:sz w:val="22"/>
          <w:szCs w:val="22"/>
        </w:rPr>
        <w:t>29.04.2021</w:t>
      </w:r>
      <w:proofErr w:type="spellEnd"/>
    </w:p>
    <w:p w:rsidR="00272233" w:rsidRDefault="00272233" w:rsidP="00272233">
      <w:r>
        <w:rPr>
          <w:sz w:val="22"/>
          <w:szCs w:val="22"/>
        </w:rPr>
        <w:t>Количество экспертов, участвовавших в обсуждении:</w:t>
      </w:r>
      <w:r>
        <w:t xml:space="preserve"> </w:t>
      </w:r>
      <w:bookmarkStart w:id="2" w:name="OLE_LINK7"/>
      <w:bookmarkStart w:id="3" w:name="OLE_LINK8"/>
      <w:proofErr w:type="spellStart"/>
      <w:r w:rsidR="001D360B" w:rsidRPr="001D360B">
        <w:rPr>
          <w:b/>
          <w:sz w:val="22"/>
          <w:szCs w:val="22"/>
        </w:rPr>
        <w:t>11</w:t>
      </w:r>
      <w:proofErr w:type="spellEnd"/>
      <w:bookmarkEnd w:id="2"/>
      <w:bookmarkEnd w:id="3"/>
    </w:p>
    <w:p w:rsidR="00272233" w:rsidRDefault="00272233" w:rsidP="00272233">
      <w:pPr>
        <w:rPr>
          <w:b/>
          <w:sz w:val="22"/>
          <w:szCs w:val="22"/>
        </w:rPr>
      </w:pPr>
      <w:r>
        <w:rPr>
          <w:sz w:val="22"/>
          <w:szCs w:val="22"/>
        </w:rPr>
        <w:t>Отчет сгенерирован:</w:t>
      </w:r>
      <w:r>
        <w:t xml:space="preserve"> </w:t>
      </w:r>
      <w:proofErr w:type="spellStart"/>
      <w:r w:rsidR="001D360B" w:rsidRPr="001D360B">
        <w:rPr>
          <w:b/>
          <w:sz w:val="22"/>
          <w:szCs w:val="22"/>
        </w:rPr>
        <w:t>13.05.2021 в 17:54</w:t>
      </w:r>
      <w:proofErr w:type="spellEnd"/>
    </w:p>
    <w:p w:rsidR="00980900" w:rsidRDefault="00980900" w:rsidP="00117C8F"/>
    <w:tbl>
      <w:tblPr>
        <w:tblStyle w:val="tablebody"/>
        <w:tblW w:w="14686" w:type="dxa"/>
        <w:tblInd w:w="50" w:type="dxa"/>
        <w:tblLayout w:type="fixed"/>
        <w:tblLook w:val="04A0" w:firstRow="1" w:lastRow="0" w:firstColumn="1" w:lastColumn="0" w:noHBand="0" w:noVBand="1"/>
      </w:tblPr>
      <w:tblGrid>
        <w:gridCol w:w="937"/>
        <w:gridCol w:w="2835"/>
        <w:gridCol w:w="3969"/>
        <w:gridCol w:w="2976"/>
        <w:gridCol w:w="3969"/>
      </w:tblGrid>
      <w:tr w:rsidR="00A80245" w:rsidRPr="00A829FF" w:rsidTr="00A80245">
        <w:trPr>
          <w:trHeight w:val="270"/>
        </w:trPr>
        <w:tc>
          <w:tcPr>
            <w:tcW w:w="937"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w:t>
            </w:r>
          </w:p>
        </w:tc>
        <w:tc>
          <w:tcPr>
            <w:tcW w:w="2835"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2976" w:type="dxa"/>
          </w:tcPr>
          <w:p w:rsidR="00A80245" w:rsidRPr="00A829FF" w:rsidRDefault="00A80245" w:rsidP="00A80245">
            <w:pPr>
              <w:spacing w:after="0"/>
              <w:jc w:val="center"/>
              <w:rPr>
                <w:b/>
              </w:rPr>
            </w:pPr>
            <w:r w:rsidRPr="0005170C">
              <w:rPr>
                <w:rFonts w:ascii="Times New Roman" w:hAnsi="Times New Roman" w:cs="Times New Roman"/>
                <w:b/>
              </w:rPr>
              <w:t>С</w:t>
            </w:r>
            <w:r>
              <w:rPr>
                <w:rFonts w:ascii="Times New Roman" w:hAnsi="Times New Roman" w:cs="Times New Roman"/>
                <w:b/>
              </w:rPr>
              <w:t>та</w:t>
            </w:r>
            <w:r w:rsidRPr="0005170C">
              <w:rPr>
                <w:rFonts w:ascii="Times New Roman" w:hAnsi="Times New Roman" w:cs="Times New Roman"/>
                <w:b/>
              </w:rPr>
              <w:t>т</w:t>
            </w:r>
            <w:r>
              <w:rPr>
                <w:rFonts w:ascii="Times New Roman" w:hAnsi="Times New Roman" w:cs="Times New Roman"/>
                <w:b/>
              </w:rPr>
              <w:t>у</w:t>
            </w:r>
            <w:r w:rsidRPr="0005170C">
              <w:rPr>
                <w:rFonts w:ascii="Times New Roman" w:hAnsi="Times New Roman" w:cs="Times New Roman"/>
                <w:b/>
              </w:rPr>
              <w:t>с рассмотрения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Липин Александр Викторович (lipinav@rosmintrud.ru)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Регулирование в целом достаточное, но в целях снижения или компенсации затрат работодателей на проведение специальной оценки условий труда в рамках предупредительных мер предлагается включить в состав расходов страхователя на предупредительные меры затраты работодателя на проведение производственного контроля условий труда,  если его результаты использовались вместо измерений при проведении специальной оценки условий труда в соответствии с частью 7 статьи 12 Федерального закона "О специальной оценке условий труда". Указанная мера будет способствовать удешевлению проведения специальной оценки условий труда и снизит финансовую нагрузку на работодателей.
Для реализации указанного предложения предлагается внести в предлагаемый проект приказа следующие изменения: 
Подпункт "а" пункта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изложить в редакции:
"а) проведение специальной оценки условий труда и проведение производственного контроля условий труда, если его результаты использовались при проведении специальной оценки условий труда;".
Подпункт "а" пункта 6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дополнить абзацем следующего содержания:
"копию протокольного решения комиссии по проведению специальной оценки условий труда о возможности использования результатов производственного контроля условий труда при проведении специальной оценки условий труда;".</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Не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Вопрос о включении в перечень предупредительных мер финансового обеспечения расходов страхователя на проведение производственного контроля условий труда, если его результаты использовались вместо измерений при проведении специальной оценки условий труда, будет рассмотрен в рамках подготовки проекта бюджета Фонда на 2022 год и на плановый период 2023 и 2024 годов после дополнительной проработки Фондом с социальными партнерами, в том числе подготовки финансово - экономического обоснования.</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Российский союз промышленников (corp@rspp.ru)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Предложение Комитета РСПП по рынку труда и социальному партнерству.
Учитывая сложную, нестабильную эпидемическую ситуацию сохраняются риски, что расходы на санаторно-курортное лечение в последующие годы могут быть не востребованы отдельными организациями в разрешенном объеме и представляется целесообразным рассмотреть возможность исключения нормы расходования 10 % объема средств только на санаторно-курортное лечение и определения самим работодателем направления расходования указанных денежных средств в рамках предупредительных мер, предусмотренных Правилами.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Не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Объем средств, направляемых страхователем на финансовое обеспечение предупредительных мер не регулируется нормами ведомственного акта Минтруда России.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
Финансовое обеспечение предупредительной меры, предусмотренной подпунктом «н» пункта 3 проекта Правил, устанавливается федеральным законом о бюджете Фонда на текущий финансовый год и плановый период в редакции, включенной в проект Правил.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Бессонов Николай Николаевич (pravo@mail.ru)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Предлагаемое регулирование не является оптимальным способом решения проблемы. При подготовке проекта не учтены поручения Президента Российской Федерации об  увеличении объемов средств, направляемых страхователем на финансовое обеспечение предупредительных мер 
по сокращению производственного травматизма и профессиональных заболеваний работников, в том числе на приобретение российского оборудования, обеспечивающего безопасное ведение горных работ.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Частично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Объем средств, направляемых страхователем на финансовое обеспечение предупредительных мер не регулируется нормами ведомственного акта Минтруда России.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
При этом подпунктом «л» пункта 3 проекта Правил предусмотрено финансовое обеспечение расходов страхователя 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4</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Иванов Александр Борисович (pravo@srrosatom.ru)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предложения СоюзАтом России</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Не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1. Согласно Трудовому Кодексу Российской Федерации (ст.209), условия труда – это совокупность факторов производственной среды и трудового процесса, оказывающих влияние на работоспособность и здоровье работника. 
В соответствии со статьей 14 Федерального закона от 28.12.2013 № 426-ФЗ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 
Таким образом класс условий труда, характеризуется наличием вредных факторов, уровни которых не превышают или превышают установленные нормативами (гигиеническими нормативами) условий труда.
При осуществлении предлагаемой замены, все предупредительные мероприятия, определенные Правилами. должны будут проводиться страхователем исключительно для работников, работающих во вредных и (или) опасных условиях труда (3 и 4 класс). Это, приведет к противоречию, так как некоторые мероприятия в Перечне направлены для работников, вне зависимости от условий труда на их рабочих местах, (например, приобретение средств индивидуальной защиты). Также это значительно сократит численность работников, для которых данные мероприятия проводятся и при этом они могут быть профинансированы за счет средств Фонда.
2. Финансовое обеспечение предупредительной меры, предусмотренной подпунктом «н» пункта 3 проекта Правил, устанавливается федеральным законом о бюджете Фонда на текущий финансовый год и плановый период в редакции, включенной в проект Правил.
3. Согласно Федеральному закону от 24.07.1998 № 125-ФЗ одной из задач обязательного социального страхования от несчастных случаев на производстве и профзаболеваний является финансовое обеспечение предупредительных мер по сокращению производственного травматизма и профессиональных заболеваний, направленное на предупреждение несчастных случаев на производстве и профессиональных заболеваний. Новая коронавирусная инфекция (COVID-19) является вирусной инфекцией и не является следствием несчастных случаев на производстве или профессиональных заболеваний. 
В связи с сохраняющейся в 2021 году неблагоприятной эпидемиологической ситуацией, вызванной распространением новой коронавирусной инфекции (COVID-19), данные мероприятия были включены в перечень предупредительных мероприятий, финансирование которых осуществляется за счет средств Фонда в рамках финансового обеспечения предупредительных мер в 2021 году в целях сохранения здоровья работников независимо от условий труда, в которых они работают. 
В тоже время, считаем проведение мероприятия по предупреждению распространения новой коронавирусной инфекции (COVID-19) на постоянной основе нецелесообразным.
4. Нецелесообразно, т.к. перенос срока несет риск, что крупные страхователи (у которых сумма страховых взносов более 25 млн. руб.) не смогут подать заявление в установленные сроки на возмещение расходов (до 15 декабря текущего года) в связи с тем, что проект решения территориального органа Фонда по измененному плану необходимо согласовать в Фонде (срок рассмотрения в Фонде - 15 рабочих дней).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5</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Бутакова Ирина Владимировна (irina-65@rambler.ru)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не оптимально</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Не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Аргументация и предложения отсутствуют</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6</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Бутакова Ирина Владимировна (irina-65@rambler.ru)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 негативные последствия изложены в прикрепленной позиции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Не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Прикрепленная позиция отсутствует</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7</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Бутакова Ирина Владимировна (irina-65@rambler.ru)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таковых нет.</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Не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Аргументация и предложения отсутствуют</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8</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Бутакова Ирина Владимировна (irina-65@rambler.ru)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Изложить абзац 3 п.2 в следующей редакции:
 Объем средств, направляемых на указанные цели, может быть увеличен до 40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финансовое обеспечение предупредительных мер по сокращению производственного травматизма и профессиональных заболеваний работников, в том числе на приобретение российского оборудования, обеспечивающего безопасное ведение горных работ, а также на санаторно-курортное лечение работников занятых на работах с вредными и опасными условиями труда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Частично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Объем средств, направляемых страхователем на финансовое обеспечение предупредительных мер не регулируется нормами ведомственного акта Минтруда России.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 
При этом подпунктом «л» пункта 3 проекта Правил предусмотрено финансовое обеспечение расходов страхователя 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9</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Бутакова Ирина Владимировна (irina-65@rambler.ru)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Проекта Приказа входит в противоречие с прямым поручением Президента Российской Федерации В.В. Путина (абзац пятый подпункта «л» пункта 3 раздела 1 протокола заседания Комиссии при Президенте Российской Федерации по вопросам стратегии развития топливно-энергетического комплекса и экологической безопасности от 18 декабря 2018 г. № Пр-2418) и Планом мероприятий по модернизации и повышению технического уровня производства в организациях угольной промышленности и охраны труда, утвержденного решением Заместителя Председателя Правительства Российской Федерации Ю.И. Борисова от 27.05.2020 « 4522п-П9, поскольку не предусматривает меру по увеличению объемов средств, направляемых страхователем на финансовое обеспечение предупредительных мер по сокращению производственного травматизма и профессиональных заболеваний работников, в том числе на приобретение российского оборудования, обеспечивающего безопасное ведение горных работ.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Частично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Объем средств, направляемых страхователем на финансовое обеспечение предупредительных мер не регулируется нормами ведомственного акта Минтруда России.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 
При этом подпунктом «л» пункта 3 проекта Правил предусмотрено финансовое обеспечение расходов страхователя 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10</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Бутакова Ирина Владимировна (irina-65@rambler.ru)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Вместе с тем, проект нормативного акта содержит большое число внутренних противоречий, норм, генерирующих значительные коррупционные риски, положений создающих риски неэффективного расходования бюджетных средств, в частности:
Подпункт н) п.3.1 Проекта Приказа предусматривает санитарно-курортное лечение работников, не работающих во вредных и опасных условиях труда, соответственно не может являться предупредительной мерой для возникновения профессиональных заболеваний и должен быть исключен.
Подпункт к) п.3.1. предусматривающий приобретение аптечек для оказания первой помощи, не является предупредительным мероприятием, поскольку не снижает риск производственного травматизма или риск возникновения профессионального заболевания, а значит должен быть исключен.
Подпункт б) п.3.1 предусматривает финансирование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При этом, отсутствует пояснение о каких именно мероприятиях идет речь. Привязаться, при реализации данного подпункта к мероприятиям, сопровождающим реализацию подпунктов г), л), о) не представляется возможным поскольку указанные подпункты направлены на приведение уровней воздействия в соответствие с нормативами на рабочих местах, а на снижение уровня негативного воздействия на организм работника. Вместе с тем, подпункт б) пункта 6 проекта Приказа в абзацах 3 и 4 содержит положения, позволяющие предположить, что под указанным в пп.б) п.3.1 направлением разрешенного использования средств, понимается приобретение оборудования предусмотренного поручением Президента РФ, но при этом не содержится ссылки о целесообразности акцента на оборудование российского производства. В этой связи, данный пункт содержит определение, которые не раскрывают его содержание, не в полной мере соответствует поручению Президента РФ В.В. Путина и формирует коррупционные риски. 
Подпункт г) и первая часть подпункта л) дублируют друг друга и должны быть скорректированы.
Подпункт в) п.3.1 содержит дискриминационную норму в отношении руководителей и работников предприятий промышленности, не являющихся субъектами малого предпринимательства или государственными (муниципальными) учреждениями. Для устранения необоснованной дискриминации предприятий горно-рудной и угольной промышленности, машиностроения, энергетики и др. должны быть предоставлены равные права на использование средств ФСС для финансирования предупредительных мероприятий.
Подпункт е) п.3.1 предусматривает возможность финансирования в рамках предупредительных мероприятий исключительно обязательных периодических медицинских осмотров работников, занятых на работах с вредными и опасными условиями труда, а также на работах, связанных с движением транспорта, но не предусматривает покрытия аналогичных расходов, связанных с проведениям обязательным медицинских осмотров до начала или в конце рабочей смены (предсменных и послесменных медицинских осмотров). Данное ограничение представляется необоснованным и в этой связи требуется расширение перечня, фиксируемого подпунктом е) пункта 3.1.
Подпункт д) п.3.1 не является предупредительной мерой, направленной на сокращение производственного травматизма и профессиональных заболеваний, поскольку не может предотвратить травму и не снижает риска возникновения заболевания, а может смягчить его течение. В этой связи данный пункт должен быть исключен из текста проекта нормативного акта.
Учитывая изложенное, считаем невозможным поддержать проект приказа в представленной редакции.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Частично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1. Финансовое обеспечение предупредительной меры, предусмотренной подпунктом «н» пункта 3 проекта Правил, устанавливается федеральным законом о бюджете Фонда на текущий финансовый год и плановый период в редакции, включенной в проект Правил.
2. Наличие аптечек у работодателя на всех медицинских постах, способствует оказанию первой медицинской помощи при несчастном случае на производстве, что может предотвратить тяжелые последствия травмы и снизиться расходы на оплату восстановления здоровья пострадавшего.
3. В рамках мероприятия подпункта «б» пункта 3 проекта Правил страхователями приобретается оборудование или проводятся работы в соответствии с планом мероприятий, составленном по результатам проведения специальной оценки условий труда (СОУТ) в целях снижения уровней воздействия вредных и (или) опасных производственных факторов на рабочих местах, на которых по результатам СОУТ такие факторы выявлены. 
При этом подпунктом «л» пункта 3 проекта Правил предусмотрено финансовое обеспечение расходов страхователя 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4. Подпункты «г» и первая часть подпункта «л» пункта 3 проекта Правил не дублируют друг друга, так как в соответствии с подпунктом «г» пункта 3 проекта Правил для работника приобретаются СИЗ в соответствии с Типовыми нормами. а в соответствии с подпунктом «л» пункта 3 проекта Правил приобретаются отдельные приборы, устройства, оборудование и (или) комплексы (систем) приборов, устройств, оборудования, непосредственно предназначенных для обеспечения безопасности работников. Таким образом предлагаемая корректировка не требуется.
5. Редакция подпункта «в» пункта 3 проекта Правил соответствует нормам постановления Министерства труда и социальной защиты Российской Федерации № 1, Министерства образования Российской Федерации № 29 от 13.01.2003 «Об утверждении Порядка обучения по охране труда и проверки знаний требований охраны труда работников организаций».
В соответствии с постановлением Правительства Российской Федерации от 31.12.2020 № 2467 указанный нормативный правовой акт действует до 1 сентября 2021 года. 
В связи с этим после принятия нового нормативного правового акта по порядку обучения по охране труда подпункт «в» пункта 3 проекта Правил будет изложен в новой редакции.
6. Вопрос о включении в перечень мероприятий по проведению предсменных и послесменных медицинских осмотров будет рассмотрен в рамках подготовки проекта бюджета Фонда на 2022 год и на плановый период 2023 и 2024 годов после дополнительной проработки Фондом с социальными партнерами, в том числе подготовки финансово-экономического обоснования, а также оценки уровня травматизма в связи с непрохождением указанных медицинских осмотров работниками.
7. Согласно Федеральному закону от 24.07.1998 № 125-ФЗ одной из задач обязательного социального страхования от несчастных случаев на производстве и профзаболеваний является финансовое обеспечение предупредительных мер по сокращению производственного травматизма и профессиональных заболеваний, направленное на предупреждение несчастных случаев на производстве и профессиональных заболеваний. Новая коронавирусная инфекция (COVID-19) является вирусной инфекцией и не является следствием несчастных случаев на производстве или профессиональных заболеваний. 
В связи с сохраняющейся в 2021 году неблагоприятной эпидемиологической ситуацией, вызванной распространением новой коронавирусной инфекции (COVID-19), данные мероприятия были включены в перечень предупредительных мероприятий, финансирование которых осуществляется за счет средств Фонда в рамках финансового обеспечения предупредительных мер в 2021 году в целях сохранения здоровья работников независимо от условий труда, в которых они работают.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11</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Аксенов Алексей Вячеславович (lyra60@yandex.ru)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
	Подпунктом «е» пункт 3 проекта правила финансового обеспечения предполагается установить, что финансовому обеспечению за счет сумм страховых взносов подлежат расходы страхователя на проведение обязательных периодических медицинских осмотров (обследований) работников, занятых на работах с вредными и (или) опасными условиями труда (в том числе на подземных работах) а также на работах, связанных с движением транспорта.
При этом имеющаяся к указанному пункту сноска на приказ Министерства труда и социальной защиты Российской Федерации и Министерства здравоохранения Российской Федерации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(далее – приказ № 988н/1420н) фактически ограничивает право организаций на финансовое обеспечение за счет сумм страховых взносов расходов связанных с проведением обязательных периодических медицинских осмотров (обследований) работников, только теми основаниями, которые содержатся в указанном приказе.
Так, в частности, согласно предлагаемой к рассмотрению редакции проекта правил финансового обеспечения не подлежат возмещению за счет сумм страховых взносов расходы российских авиакомпаний, связанных с проведением обязательных периодических медицинских осмотров (обследований) членов экипажей воздушных судов (пилотов и бортпроводников).
Согласно статье 213 Трудового кодекса Российской Федерации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свою очередь указанные категории работников согласно статье 328 Трудового кодекса Российской Федерации и статье 52 Воздушного кодекса Российской Федерации проходят обязательные предварительные (при поступлении на работу) и периодические (в течение трудовой деятельности) медицинские осмотры. Согласно абзацу второму пункта 42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утвержденных приказом Минтранса России от 22 апреля 2002 г. № 50 медицинские осмотры, проводимые при медицинском освидетельствовании авиационного персонала при приеме на работу (обучение), при очередных медицинских освидетельствованиях, и медицинские осмотры, проводимые в межкомиссионный период, относятся к категориям предварительных (при приеме на работу) и периодических медицинских осмотров.
При этом рассматриваемый проект правил финансового обеспечения не позволяет получить возмещение на проведение медицинских осмотров членов летных экипажей (пилотов) имеющих в результате проведенной специальной оценки условий труда класс вредности 3.1 по напряженности трудового процесса по показателям: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
число производственных объектов одновременного наблюдения, поскольку, пункты 5.2 – 5.2.2. приказа № 988н/1420н указывают на наличие таких факторов, трудового процесса, связанных с напряженностью трудового процесса (сенсорные нагрузки), как:
работа с оптическими приборами (более 50% времени смены);
нагрузка на голосовой аппарат (суммарное количество часов, наговариваемое в неделю, более 20).
На основании изложенного полагаем необходимым скорректировать подпункт «е» пункта 3 проекта правил финансового обеспечения изложив его в следующей редакции и исключив сноску на приказ № 988н/1420н:
«е) проведение обязательных периодических медицинских осмотров (обследований) работников».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По результатам обсуждения в проекте Правил подпункт «е» пункта 3 изложен в следующей редакции: «е) проведение обязательных периодических медицинских осмотров (обследований) работников» со ссылкой на приказ Минтруда России и Минздрава России от 31 декабря 2020 г.№ 988н/1420н и приказ Минздрава России от 28 января 2021 г. № 29н</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12</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Лисицин Сергей  (aevt@aevt.ru)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Предложения Российской АЭВТ к законопроекту. Файл прилагается.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По результатам обсуждения в проекте Правил подпункт «е» пункта 3 изложен в следующей редакции: «е) проведение обязательных периодических медицинских осмотров (обследований) работников» со ссылкой на приказ Минтруда России и Минздрава России от 31 декабря 2020 г.№ 988н/1420н и приказ Минздрава России от 28 января 2021 г. № 29н</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13</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Бекедов Алексей bekedovas@nornik.ru (BekedovAS@nornik.ru)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По результатам рассмотрения ПАО «ГМК «Норильский никель» проекта приказа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проект правил), размещённого на федеральном портале нормативных правовых актов для публичного обсуждения, сообщаем следующее. 
1. В соответствии с пунктом 3.1 проекта правил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
Вместе с тем в настоящее время на территории Российской Федерации продолжает сохраняться эпидемиологическая ситуация, которая требует от хозяйствующих субъектов организации дополнительных мероприятий по предупреждению распространения новой коронавирусной инфекции (COVID-19).
В связи с изложенным предлагаем рассмотреть вопрос о возможности продления положений по финансовому обеспечению расходов страхователя на реализацию мероприятий по предупреждению распространения новой коронавирусной инфекции (COVID-19) на 2022 год с возможностью дальнейшего продления в зависимости от эпидемиологической ситуации.
2. Согласно абзацу третьему подпункта «д» пункта 6.1 проекта правил для обоснования финансового обеспечения мероприятий, указанных в пункте 3.1 проектируемых правил, страхователь дополнительно к заявлению и плану финансового обеспечения представляет документы (копии документов), обосновывающие необходимость финансового обеспечения конкретных мероприятий, в частности, 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
Необходимо отметить, что данная норма не предусматривает возможность обследования в рамках заключённого со страховой компанией договора добровольного медицинского страхования.  
В связи с изложенным предлагаем конкретизировать положения абзаца третьего подпункта «д» пункта 6.1 проекта правил, дополнив его после слов «(медицинской лабораторией)» словами «или со страховой компанией».</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Не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1. Согласно Федеральному закону от 24.07.1998 № 125-ФЗ одной из задач обязательного социального страхования от несчастных случаев на производстве и профзаболеваний является финансовое обеспечение предупредительных мер по сокращению производственного травматизма и профессиональных заболеваний, направленное на предупреждение несчастных случаев на производстве и профессиональных заболеваний. Новая коронавирусная инфекция (COVID-19) является вирусной инфекцией и не является следствием несчастных случаев на производстве или профессиональных заболеваний. 
В связи с сохраняющейся в 2021 году неблагоприятной эпидемиологической ситуацией, вызванной распространением новой коронавирусной инфекции (COVID-19), данные мероприятия были включены в перечень предупредительных мероприятий, финансирование которых осуществляется за счет средств Фонда в рамках финансового обеспечения предупредительных мер в 2021 году в целях сохранения здоровья работников независимо от условий труда, в которых они работают. 
В тоже время, считаем проведение мероприятия по предупреждению распространения новой коронавирусной инфекции (COVID-19) на постоянной основе нецелесообразным.
2. Финансовое обеспечение расходов страхователя на предупредительные меры осуществляется в рамках обязательного социального страхования от несчастных случаев на производстве и профессиональных заболеваний в соответствии с законодательством Российской Федерации об обязательном социальном страховании. 
В рамках добровольного медицинского страхования договор с медицинской организацией заключается медицинской страховой компанией, с которой у страхователя заключен договор о добровольном медицинском страховании.
Расходы страхователей на добровольное медицинское страхование не подлежат финансовому обеспечению за счет средств Фонда в рамках обязательного социального страхования.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14</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Преснякова Дарья Денисовна (presniakovadd@minprom.gov.ru)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Просим учесть замечания Минпромторга России. Официальное письмо во вложении.</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Частично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Объем средств, направляемых страхователем на финансовое обеспечение предупредительных мер не регулируется нормами ведомственного акта Минтруда России.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 
Одновременно подпунктом «л» пункта 3 проекта Правил предусмотрено финансовое обеспечение расходов страхователя 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При этом процедура письменного подтверждения Минпромторгом России (при необходимости согласованного с Минэнерго России) о том, что предлагаемое к финансированию оборудование обеспечивает безопасное ведение горных работ и снижает уровень воздействия вредных факторов производственного процесса на работника, не предусмотрена законодательством Российской Федерации.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15</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Каменская Наталья nelsi.77@mail.ru (nelsi.77@mail.ru)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Долгожданное уточнение в абзаце пятом п.6 Правил - копию действующего на момент приобретения СИЗ заключения - снимает давний вопрос о том, что делать с СИЗ, которые приобретались в период действия заключений, а вводились в эксплуатацию по истечению срока действия заключения. 
Устраняется серьезный пробел.</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
            </w:r>
            <w:proofErr w:type="spellEnd"/>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16</w:t>
            </w:r>
          </w:p>
        </w:tc>
        <w:tc>
          <w:tcPr>
            <w:tcW w:w="2835"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Козубов Александр Игоревич (KozubovAI@suek.ru)</w:t>
            </w:r>
            <w:proofErr w:type="spellEnd"/>
          </w:p>
        </w:tc>
        <w:tc>
          <w:tcPr>
            <w:tcW w:w="3969" w:type="dxa"/>
          </w:tcPr>
          <w:p w:rsidR="00A80245" w:rsidRPr="001D360B" w:rsidRDefault="00A80245" w:rsidP="00A80245">
            <w:proofErr w:type="spellStart"/>
            <w:r w:rsidRPr="001D360B">
              <w:rPr>
                <w:rStyle w:val="pt-000004"/>
                <w:rFonts w:ascii="Times New Roman" w:hAnsi="Times New Roman" w:cs="Times New Roman"/>
              </w:rPr>
              <w:t>Проекта приказа входит в противоречие с прямым поручением Президента Российской Федерации В.В. Путина (абзац пятый подпункта «л» пункта 3 раздела 1 протокола заседания Комиссии при Президенте Российской Федерации по вопросам стратегии развития топливно-энергетического комплекса и экологической безопасности от 18 декабря 2018 г. № Пр-2418) и Планом мероприятий по модернизации и повышению технического уровня производства в организациях угольной промышленности и охраны труда, утвержденного решением Заместителя Председателя Правительства Российской Федерации Ю.И. Борисова от 27.05.2020 № 4522п-П9, так как в проекте акта отсутствует мера по увеличению объемов средств, направляемых страхователем на финансовое обеспечение предупредительных мер по сокращению производственного травматизма и профессиональных заболеваний работников, в том числе на приобретение российского оборудования, обеспечивающего безопасное ведение горных работ. </w:t>
            </w:r>
            <w:proofErr w:type="spellEnd"/>
          </w:p>
        </w:tc>
        <w:tc>
          <w:tcPr>
            <w:tcW w:w="2976" w:type="dxa"/>
          </w:tcPr>
          <w:p w:rsidR="00A80245" w:rsidRPr="00A829FF" w:rsidRDefault="00A80245" w:rsidP="00A80245">
            <w:pPr>
              <w:jc w:val="center"/>
              <w:rPr>
                <w:rFonts w:ascii="Times New Roman" w:hAnsi="Times New Roman" w:cs="Times New Roman"/>
              </w:rPr>
            </w:pPr>
            <w:proofErr w:type="spellStart"/>
            <w:r w:rsidRPr="001D360B">
              <w:rPr>
                <w:rFonts w:ascii="Times New Roman" w:hAnsi="Times New Roman" w:cs="Times New Roman"/>
              </w:rPr>
              <w:t>Частично учтено</w:t>
            </w:r>
            <w:proofErr w:type="spellEnd"/>
          </w:p>
        </w:tc>
        <w:tc>
          <w:tcPr>
            <w:tcW w:w="3969" w:type="dxa"/>
          </w:tcPr>
          <w:p w:rsidR="00A80245" w:rsidRPr="00A829FF" w:rsidRDefault="00A80245" w:rsidP="00A80245">
            <w:pPr>
              <w:rPr>
                <w:rFonts w:ascii="Times New Roman" w:hAnsi="Times New Roman" w:cs="Times New Roman"/>
              </w:rPr>
            </w:pPr>
            <w:proofErr w:type="spellStart"/>
            <w:r w:rsidRPr="001D360B">
              <w:rPr>
                <w:rStyle w:val="pt-000004"/>
                <w:rFonts w:ascii="Times New Roman" w:hAnsi="Times New Roman" w:cs="Times New Roman"/>
              </w:rPr>
              <w:t>Объем средств, направляемых страхователем на финансовое обеспечение предупредительных мер не регулируется нормами ведомственного акта Минтруда России. 
Финансовое обеспечение предупредительных мер осуществляется в пределах бюджетных ассигнований, предусмотренных бюджетом Фонда на текущий финансовый год. 
При этом подпунктом «л» пункта 3 проекта Правил предусмотрено финансовое обеспечение расходов страхователя на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t>
            </w:r>
            <w:proofErr w:type="spellEnd"/>
          </w:p>
        </w:tc>
      </w:tr>
    </w:tbl>
    <w:p w:rsidR="00A80245" w:rsidRPr="00B17966" w:rsidRDefault="00A80245"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Pr="00B17966" w:rsidRDefault="00A80245" w:rsidP="00F9544D">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proofErr w:type="spellStart"/>
            <w:r w:rsidRPr="00A919D6">
              <w:rPr>
                <w:sz w:val="28"/>
                <w:szCs w:val="28"/>
                <w:lang w:val="en-US"/>
              </w:rPr>
              <w:t>16</w:t>
            </w:r>
            <w:proofErr w:type="spellEnd"/>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proofErr w:type="spellStart"/>
            <w:r w:rsidRPr="00A919D6">
              <w:rPr>
                <w:sz w:val="28"/>
                <w:szCs w:val="28"/>
                <w:lang w:val="en-US"/>
              </w:rPr>
              <w:t>3</w:t>
            </w:r>
            <w:proofErr w:type="spellEnd"/>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proofErr w:type="spellStart"/>
            <w:r w:rsidRPr="00A919D6">
              <w:rPr>
                <w:sz w:val="28"/>
                <w:szCs w:val="28"/>
                <w:lang w:val="en-US"/>
              </w:rPr>
              <w:t>6</w:t>
            </w:r>
            <w:proofErr w:type="spellEnd"/>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proofErr w:type="spellStart"/>
            <w:r w:rsidRPr="00A919D6">
              <w:rPr>
                <w:sz w:val="28"/>
                <w:szCs w:val="28"/>
                <w:lang w:val="en-US"/>
              </w:rPr>
              <w:t>7</w:t>
            </w:r>
            <w:proofErr w:type="spellEnd"/>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proofErr w:type="gramStart"/>
            <w:r>
              <w:rPr>
                <w:sz w:val="28"/>
                <w:szCs w:val="28"/>
              </w:rPr>
              <w:t xml:space="preserve">«  </w:t>
            </w:r>
            <w:proofErr w:type="gramEnd"/>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47" w:rsidRDefault="00F44047">
      <w:r>
        <w:separator/>
      </w:r>
    </w:p>
  </w:endnote>
  <w:endnote w:type="continuationSeparator" w:id="0">
    <w:p w:rsidR="00F44047" w:rsidRDefault="00F4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47" w:rsidRDefault="00F44047">
      <w:r>
        <w:separator/>
      </w:r>
    </w:p>
  </w:footnote>
  <w:footnote w:type="continuationSeparator" w:id="0">
    <w:p w:rsidR="00F44047" w:rsidRDefault="00F4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70C"/>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3CEF"/>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4EE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36E9"/>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245"/>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0F56"/>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047"/>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260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9D218"/>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regulation.gov.ru/p/114735" TargetMode="External" Id="id2b8c99f5d5984ce3b85deff8d8ec74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Общие"/>
          <w:gallery w:val="placeholder"/>
        </w:category>
        <w:types>
          <w:type w:val="bbPlcHdr"/>
        </w:types>
        <w:behaviors>
          <w:behavior w:val="content"/>
        </w:behaviors>
        <w:guid w:val="{894C7CEA-B5A9-406F-B3D4-07B3F5B4E960}"/>
      </w:docPartPr>
      <w:docPartBody>
        <w:p w:rsidR="003F6C2F" w:rsidRDefault="00D263C8">
          <w:r w:rsidRPr="00F976D2">
            <w:rPr>
              <w:rStyle w:val="a3"/>
            </w:rPr>
            <w:t>Место для ввода текста.</w:t>
          </w:r>
        </w:p>
      </w:docPartBody>
    </w:docPart>
    <w:docPart>
      <w:docPartPr>
        <w:name w:val="A6412C53A6AE46FBAAEC8BEFCFBAB45B"/>
        <w:category>
          <w:name w:val="Общие"/>
          <w:gallery w:val="placeholder"/>
        </w:category>
        <w:types>
          <w:type w:val="bbPlcHdr"/>
        </w:types>
        <w:behaviors>
          <w:behavior w:val="content"/>
        </w:behaviors>
        <w:guid w:val="{FC613AFB-3DF1-4219-8932-07A316856665}"/>
      </w:docPartPr>
      <w:docPartBody>
        <w:p w:rsidR="00000000" w:rsidRDefault="007E48F0" w:rsidP="007E48F0">
          <w:pPr>
            <w:pStyle w:val="A6412C53A6AE46FBAAEC8BEFCFBAB45B"/>
          </w:pPr>
          <w:r w:rsidRPr="00F976D2">
            <w:rPr>
              <w:rStyle w:val="a3"/>
            </w:rPr>
            <w:t>Место для ввода текста.</w:t>
          </w:r>
        </w:p>
      </w:docPartBody>
    </w:docPart>
    <w:docPart>
      <w:docPartPr>
        <w:name w:val="67738AB48BDD4CC2A5DDBFA9DAE85A8E"/>
        <w:category>
          <w:name w:val="Общие"/>
          <w:gallery w:val="placeholder"/>
        </w:category>
        <w:types>
          <w:type w:val="bbPlcHdr"/>
        </w:types>
        <w:behaviors>
          <w:behavior w:val="content"/>
        </w:behaviors>
        <w:guid w:val="{7D292DE1-1F25-4DF8-BD45-3C5D4E43357F}"/>
      </w:docPartPr>
      <w:docPartBody>
        <w:p w:rsidR="00000000" w:rsidRDefault="007E48F0" w:rsidP="007E48F0">
          <w:pPr>
            <w:pStyle w:val="67738AB48BDD4CC2A5DDBFA9DAE85A8E"/>
          </w:pPr>
          <w:r w:rsidRPr="00F976D2">
            <w:rPr>
              <w:rStyle w:val="a3"/>
            </w:rPr>
            <w:t>Место для ввода текста.</w:t>
          </w:r>
        </w:p>
      </w:docPartBody>
    </w:docPart>
    <w:docPart>
      <w:docPartPr>
        <w:name w:val="E19DAB26E6C14FAEB46F0C53F78C5D9A"/>
        <w:category>
          <w:name w:val="Общие"/>
          <w:gallery w:val="placeholder"/>
        </w:category>
        <w:types>
          <w:type w:val="bbPlcHdr"/>
        </w:types>
        <w:behaviors>
          <w:behavior w:val="content"/>
        </w:behaviors>
        <w:guid w:val="{F500DA00-7A5B-473D-BF8B-15A25ABA82ED}"/>
      </w:docPartPr>
      <w:docPartBody>
        <w:p w:rsidR="00000000" w:rsidRDefault="007E48F0" w:rsidP="007E48F0">
          <w:pPr>
            <w:pStyle w:val="E19DAB26E6C14FAEB46F0C53F78C5D9A"/>
          </w:pPr>
          <w:r w:rsidRPr="00F976D2">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5BF621952B0461BA6ED002904B7FB9C"/>
        <w:category>
          <w:name w:val="Общие"/>
          <w:gallery w:val="placeholder"/>
        </w:category>
        <w:types>
          <w:type w:val="bbPlcHdr"/>
        </w:types>
        <w:behaviors>
          <w:behavior w:val="content"/>
        </w:behaviors>
        <w:guid w:val="{F41C5DE7-F9C4-434F-BCF6-467E39F05E53}"/>
      </w:docPartPr>
      <w:docPartBody>
        <w:p w:rsidR="00000000" w:rsidRDefault="007E48F0" w:rsidP="007E48F0">
          <w:pPr>
            <w:pStyle w:val="E5BF621952B0461BA6ED002904B7FB9C"/>
          </w:pPr>
          <w:r w:rsidRPr="00F976D2">
            <w:rPr>
              <w:rStyle w:val="a3"/>
            </w:rPr>
            <w:t>Место для ввода текста.</w:t>
          </w:r>
        </w:p>
      </w:docPartBody>
    </w:docPart>
    <w:docPart>
      <w:docPartPr>
        <w:name w:val="63F83FE078614138A41FA8CFBAD05516"/>
        <w:category>
          <w:name w:val="Общие"/>
          <w:gallery w:val="placeholder"/>
        </w:category>
        <w:types>
          <w:type w:val="bbPlcHdr"/>
        </w:types>
        <w:behaviors>
          <w:behavior w:val="content"/>
        </w:behaviors>
        <w:guid w:val="{59A41BD7-6040-46B4-935D-B16653557F70}"/>
      </w:docPartPr>
      <w:docPartBody>
        <w:p w:rsidR="00000000" w:rsidRDefault="007E48F0" w:rsidP="007E48F0">
          <w:pPr>
            <w:pStyle w:val="63F83FE078614138A41FA8CFBAD05516"/>
          </w:pPr>
          <w:r w:rsidRPr="00F976D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C8"/>
    <w:rsid w:val="000537CE"/>
    <w:rsid w:val="00260CD2"/>
    <w:rsid w:val="003402E5"/>
    <w:rsid w:val="003F6C2F"/>
    <w:rsid w:val="004E45EA"/>
    <w:rsid w:val="00642518"/>
    <w:rsid w:val="00660E59"/>
    <w:rsid w:val="00772999"/>
    <w:rsid w:val="0078390D"/>
    <w:rsid w:val="007E48F0"/>
    <w:rsid w:val="008E4A68"/>
    <w:rsid w:val="008E6CEA"/>
    <w:rsid w:val="00AF3E27"/>
    <w:rsid w:val="00D263C8"/>
    <w:rsid w:val="00EC4B44"/>
    <w:rsid w:val="00FB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48F0"/>
    <w:rPr>
      <w:color w:val="808080"/>
    </w:rPr>
  </w:style>
  <w:style w:type="paragraph" w:customStyle="1" w:styleId="7C34B06C1E8B4B1BBB45CA0D2F839625">
    <w:name w:val="7C34B06C1E8B4B1BBB45CA0D2F839625"/>
    <w:rsid w:val="000537CE"/>
  </w:style>
  <w:style w:type="paragraph" w:customStyle="1" w:styleId="57DAFFE585D54FDCA0EDC1442CF2D474">
    <w:name w:val="57DAFFE585D54FDCA0EDC1442CF2D474"/>
    <w:rsid w:val="000537CE"/>
  </w:style>
  <w:style w:type="paragraph" w:customStyle="1" w:styleId="12F10E795E8A4BD58CC9A94D7A319D78">
    <w:name w:val="12F10E795E8A4BD58CC9A94D7A319D78"/>
    <w:rsid w:val="00AF3E27"/>
  </w:style>
  <w:style w:type="paragraph" w:customStyle="1" w:styleId="766A827895E54614BDD4D2EA3F74C0F3">
    <w:name w:val="766A827895E54614BDD4D2EA3F74C0F3"/>
    <w:rsid w:val="00AF3E27"/>
  </w:style>
  <w:style w:type="paragraph" w:customStyle="1" w:styleId="A6412C53A6AE46FBAAEC8BEFCFBAB45B">
    <w:name w:val="A6412C53A6AE46FBAAEC8BEFCFBAB45B"/>
    <w:rsid w:val="007E48F0"/>
  </w:style>
  <w:style w:type="paragraph" w:customStyle="1" w:styleId="67738AB48BDD4CC2A5DDBFA9DAE85A8E">
    <w:name w:val="67738AB48BDD4CC2A5DDBFA9DAE85A8E"/>
    <w:rsid w:val="007E48F0"/>
  </w:style>
  <w:style w:type="paragraph" w:customStyle="1" w:styleId="985CFFEB3832420EA5A3766EBA55E818">
    <w:name w:val="985CFFEB3832420EA5A3766EBA55E818"/>
    <w:rsid w:val="007E48F0"/>
  </w:style>
  <w:style w:type="paragraph" w:customStyle="1" w:styleId="1D765307DB5047CD9D1F052E10305D52">
    <w:name w:val="1D765307DB5047CD9D1F052E10305D52"/>
    <w:rsid w:val="007E48F0"/>
  </w:style>
  <w:style w:type="paragraph" w:customStyle="1" w:styleId="41C259E962B948E28244552FDBA85BA9">
    <w:name w:val="41C259E962B948E28244552FDBA85BA9"/>
    <w:rsid w:val="007E48F0"/>
  </w:style>
  <w:style w:type="paragraph" w:customStyle="1" w:styleId="C920AFD95C474EFB8E30A2BF1416C980">
    <w:name w:val="C920AFD95C474EFB8E30A2BF1416C980"/>
    <w:rsid w:val="007E48F0"/>
  </w:style>
  <w:style w:type="paragraph" w:customStyle="1" w:styleId="2A9F8C776CC24B50A97F3C856D8D4A8B">
    <w:name w:val="2A9F8C776CC24B50A97F3C856D8D4A8B"/>
    <w:rsid w:val="007E48F0"/>
  </w:style>
  <w:style w:type="paragraph" w:customStyle="1" w:styleId="CD71483513D2430C9A369368D499513D">
    <w:name w:val="CD71483513D2430C9A369368D499513D"/>
    <w:rsid w:val="007E48F0"/>
  </w:style>
  <w:style w:type="paragraph" w:customStyle="1" w:styleId="AAC845A682A440718568C0E5A3213F1F">
    <w:name w:val="AAC845A682A440718568C0E5A3213F1F"/>
    <w:rsid w:val="007E48F0"/>
  </w:style>
  <w:style w:type="paragraph" w:customStyle="1" w:styleId="6C24B67AFB55452EB3CF6BACADABBCA3">
    <w:name w:val="6C24B67AFB55452EB3CF6BACADABBCA3"/>
    <w:rsid w:val="007E48F0"/>
  </w:style>
  <w:style w:type="paragraph" w:customStyle="1" w:styleId="D6589620BB4E482AACE7F820A801EBA4">
    <w:name w:val="D6589620BB4E482AACE7F820A801EBA4"/>
    <w:rsid w:val="007E48F0"/>
  </w:style>
  <w:style w:type="paragraph" w:customStyle="1" w:styleId="9AD23F87E92A44D9B1755CB4474D5C45">
    <w:name w:val="9AD23F87E92A44D9B1755CB4474D5C45"/>
    <w:rsid w:val="007E48F0"/>
  </w:style>
  <w:style w:type="paragraph" w:customStyle="1" w:styleId="58B2C2140A7A43939734D5F35D6B7C55">
    <w:name w:val="58B2C2140A7A43939734D5F35D6B7C55"/>
    <w:rsid w:val="007E48F0"/>
  </w:style>
  <w:style w:type="paragraph" w:customStyle="1" w:styleId="E19DAB26E6C14FAEB46F0C53F78C5D9A">
    <w:name w:val="E19DAB26E6C14FAEB46F0C53F78C5D9A"/>
    <w:rsid w:val="007E48F0"/>
  </w:style>
  <w:style w:type="paragraph" w:customStyle="1" w:styleId="E5BF621952B0461BA6ED002904B7FB9C">
    <w:name w:val="E5BF621952B0461BA6ED002904B7FB9C"/>
    <w:rsid w:val="007E48F0"/>
  </w:style>
  <w:style w:type="paragraph" w:customStyle="1" w:styleId="63F83FE078614138A41FA8CFBAD05516">
    <w:name w:val="63F83FE078614138A41FA8CFBAD05516"/>
    <w:rsid w:val="007E4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7C3E-687F-48DE-A438-3DAD3831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78</Words>
  <Characters>717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 </cp:lastModifiedBy>
  <cp:revision>19</cp:revision>
  <cp:lastPrinted>2015-05-12T12:20:00Z</cp:lastPrinted>
  <dcterms:created xsi:type="dcterms:W3CDTF">2015-08-20T10:52:00Z</dcterms:created>
  <dcterms:modified xsi:type="dcterms:W3CDTF">2019-11-28T16:11:00Z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