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ff1"/>
        <w:tblW w:w="97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426"/>
        <w:gridCol w:w="11765"/>
      </w:tblGrid>
      <w:tr>
        <w:trPr>
          <w:trHeight w:val="1236" w:hRule="atLeast"/>
        </w:trPr>
        <w:tc>
          <w:tcPr>
            <w:tcW w:w="3426" w:type="dxa"/>
            <w:hideMark/>
          </w:tcPr>
          <w:p>
            <w:r>
              <w:rPr>
                <w:lang w:eastAsia="ru-RU"/>
                <w:noProof/>
              </w:rPr>
              <w:drawing>
                <wp:inline distT="0" distB="0" distL="0" distR="0">
                  <wp:extent cx="1941217" cy="457023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17" cy="45702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Негосударственное образовательное частное </w:t>
            </w:r>
          </w:p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учреждение дополнительного образования </w:t>
            </w:r>
          </w:p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>«Образовательный центр «НОРМАТИВ»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 xml:space="preserve">141305, Московская обл., г. Сергиев Посад, ул. Пионерская, д. 6, 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БЦ «Александрийский», оф. 226.</w:t>
            </w:r>
          </w:p>
          <w:p>
            <w:pPr>
              <w:jc w:val="right"/>
              <w:rPr>
                <w:lang w:val="en-US"/>
                <w:rFonts w:ascii="Segoe UI" w:hAnsi="Segoe UI" w:cs="Segoe UI"/>
                <w:color w:val="264796"/>
                <w:sz w:val="16"/>
              </w:rPr>
            </w:pP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>email: 5408668@mail.ru</w:t>
            </w:r>
          </w:p>
          <w:p>
            <w:pPr>
              <w:jc w:val="right"/>
              <w:rPr>
                <w:lang w:val="en-US"/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тел</w:t>
            </w: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>./</w:t>
            </w:r>
            <w:r>
              <w:rPr>
                <w:rFonts w:ascii="Segoe UI" w:hAnsi="Segoe UI" w:cs="Segoe UI"/>
                <w:color w:val="264796"/>
                <w:sz w:val="16"/>
              </w:rPr>
              <w:t>факс</w:t>
            </w: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 xml:space="preserve">: +7(496) 540-86-68, 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+7(499) 755-55-67</w:t>
            </w:r>
          </w:p>
          <w:p>
            <w:pPr>
              <w:jc w:val="right"/>
            </w:pPr>
          </w:p>
        </w:tc>
      </w:tr>
    </w:tbl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Памятка для работодателя по обучению охране труда и проверке знаний по Правилам № 2464 (действуют с 01.09.2022)</w:t>
      </w:r>
    </w:p>
    <w:tbl>
      <w:tblPr>
        <w:tblStyle w:val="afffff1"/>
        <w:tblLook w:val="04A0" w:firstRow="1" w:lastRow="0" w:firstColumn="1" w:lastColumn="0" w:noHBand="0" w:noVBand="1"/>
        <w:tblLayout w:type="autofit"/>
      </w:tblPr>
      <w:tblGrid>
        <w:gridCol w:w="3801"/>
        <w:gridCol w:w="3801"/>
        <w:gridCol w:w="3801"/>
        <w:gridCol w:w="38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Как и когда учить</w:t>
            </w:r>
          </w:p>
        </w:tc>
        <w:tc>
          <w:tcPr>
            <w:tcW w:w="380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Кого учить</w:t>
            </w:r>
          </w:p>
        </w:tc>
        <w:tc>
          <w:tcPr>
            <w:tcW w:w="380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У кого учить</w:t>
            </w:r>
          </w:p>
        </w:tc>
        <w:tc>
          <w:tcPr>
            <w:tcW w:w="380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Как оформлять результаты обучения и проверки знаний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4" w:type="dxa"/>
            <w:gridSpan w:val="4"/>
            <w:vAlign w:val="top"/>
          </w:tcPr>
          <w:p>
            <w:pPr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1. Инструктаж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1.1. Вводный инструктаж по охране труда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Примерный перечень тем — Приложение 1 к Правилам.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До начала работы.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Все принятые работники, командированные сотрудники, лица на производственной практике 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У работодателя, либо с привлечением аккредитованных в Минтруда организации, у ИП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Определяет работодатель, с учетом п. 86-89 Правил. На бумажном носителе с подписью работника. Правила электронного документооборота по ст. 22.1-22.3 ТК РФ на инструктажи не распространяются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1.2. Первичный инструктаж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 на рабочем месте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Примерный перечень тем — по опасностям на конкретном рабочем месте (СОУТ, ОПР)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Все, кроме командированных и освобожденных по решению работодателя (п. 13 Правил) — сотрудников, которые работают только с компьютерами, ксероксами, бытовой техникой и т.п.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На рабочем месте. Инструктаж проводит непосредственный руководитель работника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п.1.1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1.3. Повторный инструктаж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 на рабочем месте (раз в 6 мес.)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Как в п. 1.2 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1.2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п.1.1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 xml:space="preserve">1.4. Внеплановый инструктаж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sz w:val="20"/>
                <w:szCs w:val="20"/>
                <w:rtl w:val="off"/>
              </w:rPr>
              <w:t>по основаниям в п. 16 Правил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Все работники. Исключение — при изменении НПА от инструктажа освобождают тех, кто проходит внеплановое обучение по НПА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На рабочем месте. Инструктаж проводит непосредственный руководитель работника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п.1.1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1.5. Целевой инструктаж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 — по опасностям на конкретном месте выполнения работ (ОПР)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Работники, привлекаемые к конкретным работам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Руководитель работ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п.1.1.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 ликвидации ЧС записи можно не оформлять.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4" w:type="dxa"/>
            <w:gridSpan w:val="4"/>
            <w:vAlign w:val="top"/>
          </w:tcPr>
          <w:p>
            <w:pPr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2. Стажировка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Стажировка на рабочем месте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 с отработкой практических навыков.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Программа стажировки или ЛНА, согласованные с профсоюзом.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Работодатель может проводить учения и тренировки по отдельным видам работ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Работники, которые прошли обучение по программам охраны труда А, Б, В.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Список должностей и профессий определяет работодатель. Обязательно включает тех, кто занят на работах повышенной опасности.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Лица, назначенные ответственными за проведение стажировки работника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Определяет работодатель, с учетом п. 90 Правил.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Можно применять электронный документооборот.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4" w:type="dxa"/>
            <w:gridSpan w:val="4"/>
            <w:vAlign w:val="top"/>
          </w:tcPr>
          <w:p>
            <w:pPr>
              <w:jc w:val="center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3. Программы обучения охране труда и проверка знаний (кроме микропредприятий)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3.1. Оказание первой помощи пострадавшим.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Примерный перечень тем — Приложение 2 к Правилам.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Продолжительность — не менее 8 часов при самостоятельном или внешнем обучении. У работодателя можно меньше.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Практические занятия — не меньше 50% продолжительности.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Можно включать в программы А, Б, В. Для самостоятельного изучения — отдельная программа.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  <w:vAlign w:val="top"/>
          </w:tcPr>
          <w:p>
            <w:pPr>
              <w:ind w:leftChars="0" w:left="0" w:rightChars="0" w:right="0" w:hanging="0" w:firstLineChars="2" w:firstLine="5"/>
              <w:spacing w:before="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П. 33. Обучение по оказанию первой помощи пострадавшим проводится в отношении следующих категорий работников:</w:t>
            </w:r>
          </w:p>
          <w:p>
            <w:pPr>
              <w:ind w:leftChars="0" w:left="0" w:rightChars="0" w:right="0" w:hanging="0" w:firstLineChars="2" w:firstLine="5"/>
              <w:spacing w:before="24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      </w:r>
          </w:p>
          <w:p>
            <w:pPr>
              <w:ind w:leftChars="0" w:left="0" w:rightChars="0" w:right="0" w:hanging="0" w:firstLineChars="2" w:firstLine="5"/>
              <w:spacing w:before="24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б) работники рабочих профессий;</w:t>
            </w:r>
          </w:p>
          <w:p>
            <w:pPr>
              <w:ind w:leftChars="0" w:left="0" w:rightChars="0" w:right="0" w:hanging="0" w:firstLineChars="2" w:firstLine="5"/>
              <w:spacing w:before="24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в) лица, обязанные оказывать первую помощь пострадавшим в соответствии с требованиями нормативных правовых актов;</w:t>
            </w:r>
          </w:p>
          <w:p>
            <w:pPr>
              <w:ind w:leftChars="0" w:left="0" w:rightChars="0" w:right="0" w:hanging="0" w:firstLineChars="2" w:firstLine="5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г) работники, к трудовым функциям которых отнесено управление автотранспортным средством;</w:t>
            </w:r>
          </w:p>
          <w:p>
            <w:pPr>
              <w:ind w:leftChars="0" w:left="0" w:rightChars="0" w:right="0" w:hanging="0" w:firstLineChars="2" w:firstLine="5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      </w:r>
          </w:p>
          <w:p>
            <w:pPr>
              <w:ind w:leftChars="0" w:left="0" w:rightChars="0" w:right="0" w:hanging="0" w:firstLineChars="2" w:firstLine="5"/>
              <w:spacing w:before="24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      </w:r>
          </w:p>
          <w:p>
            <w:pPr>
              <w:ind w:leftChars="0" w:left="0" w:rightChars="0" w:right="0" w:hanging="0" w:firstLineChars="2" w:firstLine="5"/>
              <w:jc w:val="both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ж) иные работники по решению работодателя.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У работодателя по программам.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Самостоятельно.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Внешнее обучение: в организации или у ИП, аккредитованных в Минтруда.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Протокол проверки знаний в бумажном или электронном виде (п. 91 Правил).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Запись в реестре обученных лиц (с 1 марта 2023 года).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 xml:space="preserve">3.2. Использование (применение) средств индивидуальной защиты — СИЗ. 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Для спецодежды и спецобуви — программы обучения ношению. Для прочих СИЗ — программы обучения применению.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Практические занятия — не меньше 50% продолжительности.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Можно включать в программы А, Б, В. Для самостоятельного изучения — отдельная программа.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  <w:vAlign w:val="top"/>
          </w:tcPr>
          <w:p>
            <w:pPr>
              <w:ind w:leftChars="0" w:left="0" w:rightChars="0" w:right="0" w:hanging="0" w:firstLineChars="2" w:firstLine="5"/>
              <w:jc w:val="both"/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П. 38. ...работники, применяющие средства индивидуальной защиты, применение которых требует практических навыков. </w:t>
            </w:r>
          </w:p>
          <w:p>
            <w:pPr>
              <w:ind w:leftChars="0" w:left="0" w:rightChars="0" w:right="0" w:hanging="0" w:firstLineChars="2" w:firstLine="5"/>
              <w:jc w:val="both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</w:t>
            </w:r>
            <w:r>
              <w:rPr>
                <w:caps w:val="off"/>
                <w:rFonts w:ascii="&quot;Times New Roman&quot;" w:eastAsia="&quot;Times New Roman&quot;" w:hAnsi="&quot;Times New Roman&quot;" w:cs="&quot;Times New Roman&quot;"/>
                <w:b w:val="0"/>
                <w:i w:val="0"/>
                <w:sz w:val="20"/>
              </w:rPr>
              <w:t xml:space="preserve">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причинения вреда работнику. </w:t>
            </w:r>
          </w:p>
          <w:p>
            <w:pPr>
              <w:ind w:leftChars="0" w:left="0" w:rightChars="0" w:right="0" w:hanging="0" w:firstLineChars="2" w:firstLine="5"/>
              <w:jc w:val="both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3.3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>. Программа обучения А по общим вопросам охраны труда и функционирования СУОТ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 продолжительностью не менее 16 часов.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i/>
                <w:iCs/>
                <w:sz w:val="20"/>
                <w:szCs w:val="20"/>
                <w:rtl w:val="off"/>
              </w:rPr>
              <w:t>Если работник подлежит обучению по нескольким программам, их продолжительность суммируется. Либо при А+Б+В — не менее 40 часов.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Примерный перечень тем — Приложение 3 к Правилам.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Обучение — не позднее 60 дней после приема на работу или перевода. Исключение — п. 7 Правил, когда условия труда не меняются. 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ИП проходит обучение до приема на работу первого сотрудника.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Дальше — не реже раза в 3 года. 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Внеплановое обучение — по основаниям в п. 50 Правил, в течение 60 дней после наступления события, если иное не установлено ГИТ.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Обучение проходит с отрывом от работы или дистанционно.</w:t>
            </w:r>
          </w:p>
        </w:tc>
        <w:tc>
          <w:tcPr>
            <w:tcW w:w="3801" w:type="dxa"/>
            <w:vAlign w:val="top"/>
          </w:tcPr>
          <w:p>
            <w:pPr>
              <w:ind w:leftChars="0" w:left="0" w:rightChars="0" w:right="0" w:hanging="0" w:firstLineChars="2" w:firstLine="5"/>
              <w:jc w:val="both"/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П. 52. Работники федеральных органов исполнительной власти, органов исполнительной власти субъектов РФ и органов местного самоуправления: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1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заместитель руководителя, в ведении которого находятся вопросы охраны труда;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1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1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специалисты, осуществляющие функции специалиста по охране труда.</w:t>
            </w:r>
          </w:p>
          <w:p>
            <w:pPr>
              <w:ind w:leftChars="0" w:left="0" w:rightChars="0" w:right="0" w:hanging="0" w:firstLineChars="2" w:firstLine="5"/>
              <w:jc w:val="both"/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П. 53. Категории работников: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руководитель организации;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заместители руководителя организации, на которых приказом работодателя возложены обязанности по охране труда;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филиалов и их заместители, на которых приказом работодателя возложены обязанности по охране труда;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 организации и их заместители;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 филиала и их заместители;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специалисты по охране труда;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У работодателя — по собственным программам, зарегистрированным в Минтруда (раздел IX Правил).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В организации или у ИП, аккредитованных в Минтруда, по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аккредитованным программам (п. 106 Правил, ПП от 16 декабря 2021 г. N 2334):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руководитель организации или ИП, 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филиалов организации,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специалисты по охране труда, 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члены комитетов (комиссий) по охране труда, 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fldChar w:fldCharType="begin"/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instrText xml:space="preserve"> HYPERLINK "http://www.consultant.ru/document/cons_doc_LAW_405174/e5e58dec91003d80c960c19df8fa890b4ea7c5cc/#dst100220" </w:instrTex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fldChar w:fldCharType="separate"/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пунктом 101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fldChar w:fldCharType="end"/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 Правил.</w:t>
            </w:r>
          </w:p>
          <w:p>
            <w:pPr>
              <w:spacing w:after="160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>3.4. Программа обучения Б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, продолжительностью не менее 16 часов. Практические занятия — не менее 25%.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Как в п. 3.3.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</w:p>
        </w:tc>
        <w:tc>
          <w:tcPr>
            <w:tcW w:w="3801" w:type="dxa"/>
            <w:vAlign w:val="top"/>
          </w:tcPr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специалисты, осуществляющие функции специалиста по охране труда, в федеральных органах исполнительной власти, органах исполнительной власти субъектов РФ и органах местного самоуправления;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 организации и их заместители;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 филиала и их заместители;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работники организации, отнесенные к категории специалисты (можно не обучать по решению работодателя при работе в оптимальных или допустимых условиях труда, только с ПЭВМ и ксероксом — п. 54 Правил);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специалисты по охране труда;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работники рабочих профессий;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члены комиссий по проверке знания требований охраны труда;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лица, проводящие инструктажи по охране труда и обучение требованиям охраны труда;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  <w:vAlign w:val="top"/>
          </w:tcPr>
          <w:p>
            <w:pPr>
              <w:spacing w:after="160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3.3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caps w:val="off"/>
                <w:rFonts w:ascii="&quot;Times New Roman&quot;" w:eastAsia="&quot;Times New Roman&quot;" w:hAnsi="&quot;Times New Roman&quot;" w:cs="&quot;Times New Roman&quot;"/>
                <w:b w:val="0"/>
                <w:i w:val="0"/>
                <w:sz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>3.5. Программа обучения В безопасным методам и приемам выполнения работ повышенной опасности.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Как в п. 3.4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  <w:t>+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Плановое обучение — не реже раза в год.</w:t>
            </w:r>
          </w:p>
        </w:tc>
        <w:tc>
          <w:tcPr>
            <w:tcW w:w="3801" w:type="dxa"/>
            <w:vAlign w:val="top"/>
          </w:tcPr>
          <w:p>
            <w:pP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П. 55-56 Правил:</w:t>
            </w:r>
          </w:p>
          <w:p>
            <w:pPr>
              <w:pStyle w:val="af3"/>
              <w:ind w:leftChars="0"/>
              <w:numPr>
                <w:ilvl w:val="0"/>
                <w:numId w:val="4"/>
              </w:numPr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работники, непосредственно выполняющие работы повышенной опасности, </w:t>
            </w:r>
          </w:p>
          <w:p>
            <w:pPr>
              <w:pStyle w:val="af3"/>
              <w:ind w:leftChars="0"/>
              <w:numPr>
                <w:ilvl w:val="0"/>
                <w:numId w:val="4"/>
              </w:numPr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лица, ответственные за организацию, выполнение и контроль работ повышенной опасности, </w:t>
            </w:r>
          </w:p>
          <w:p>
            <w:pP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определенные локальными нормативными актами работодателя.</w:t>
            </w:r>
          </w:p>
        </w:tc>
        <w:tc>
          <w:tcPr>
            <w:tcW w:w="3801" w:type="dxa"/>
            <w:vAlign w:val="top"/>
          </w:tcPr>
          <w:p>
            <w:pPr>
              <w:spacing w:after="160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п.3.3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</w:t>
            </w:r>
          </w:p>
        </w:tc>
      </w:tr>
    </w:tbl>
    <w:p>
      <w:pPr>
        <w:jc w:val="both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Выписка из Правил для микропредприятий. </w:t>
      </w:r>
    </w:p>
    <w:p>
      <w:pPr>
        <w:ind w:leftChars="0" w:left="0" w:rightChars="0" w:right="0" w:hanging="0" w:firstLineChars="0" w:firstLine="0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100. Работодатели, отнесенные в соответствии с законодательством Российской Федерации к 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Правил.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организации, установленного </w:t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fldChar w:fldCharType="begin"/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instrText xml:space="preserve"> HYPERLINK "http://www.consultant.ru/document/cons_doc_LAW_405174/758257bc57916c11ad920898aaa5c57392937d48/#dst100382" </w:instrText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fldChar w:fldCharType="separate"/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приложением N 4</w:t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fldChar w:fldCharType="end"/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 к настоящим Правилам.</w:t>
      </w:r>
    </w:p>
    <w:p>
      <w:pPr>
        <w:ind w:leftChars="0" w:left="0" w:rightChars="0" w:right="0" w:hanging="0" w:firstLineChars="0" w:firstLine="0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101. 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охраны труда.</w:t>
      </w:r>
    </w:p>
    <w:p>
      <w:pPr>
        <w:ind w:leftChars="0" w:left="0" w:rightChars="0" w:right="0" w:hanging="0" w:firstLineChars="0" w:firstLine="0"/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102. Работодатели, отнесенные в соответствии с законодательством Российской Федерации к микропредприятиям, вправе совместить проведение с работником вводного инструктажа по охране труда и инструктажа по охране труда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>
      <w:pPr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0"/>
          <w:szCs w:val="20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103. 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>
      <w:pPr>
        <w:spacing w:before="240"/>
        <w:rPr>
          <w:lang w:val="ru-RU" w:eastAsia="en-US" w:bidi="ar-SA"/>
          <w:rFonts w:ascii="Times New Roman" w:eastAsia="Times New Roman" w:hAnsi="Times New Roman" w:cs="Arial"/>
          <w:b/>
          <w:bCs/>
          <w:sz w:val="24"/>
          <w:szCs w:val="24"/>
          <w:rtl w:val="off"/>
        </w:rPr>
      </w:pP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t>Группа компаний «Норматив» оказывает услуги в области охраны труда, промышленной безопасности, противопожарной защищенности, ГО и ЧС. И вы всегда можете обратиться к нам за бесплатной консультацией.</w:t>
      </w:r>
    </w:p>
    <w:p>
      <w:pPr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b/>
          <w:bCs/>
          <w:sz w:val="20"/>
          <w:szCs w:val="20"/>
          <w:rtl w:val="off"/>
        </w:rPr>
      </w:pP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t xml:space="preserve">Много полезной информации вы найдете в Библиотеке статей на нашем сайте </w:t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fldChar w:fldCharType="begin"/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instrText xml:space="preserve"> HYPERLINK "https://normativ.org/" </w:instrText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fldChar w:fldCharType="separate"/>
      </w:r>
      <w:r>
        <w:rPr>
          <w:rStyle w:val="afa"/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t>https://normativ.org/</w:t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fldChar w:fldCharType="end"/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t>.</w:t>
      </w:r>
    </w:p>
    <w:sectPr>
      <w:pgSz w:w="16838" w:h="11906" w:orient="landscape"/>
      <w:pgMar w:top="1163" w:right="716" w:bottom="851" w:left="1134" w:header="709" w:footer="709" w:gutter="0"/>
      <w:cols w:space="708"/>
      <w:docGrid w:linePitch="360"/>
      <w:headerReference w:type="default" r:id="rId2"/>
      <w:headerReference w:type="first" r:id="rId3"/>
      <w:footerReference w:type="default" r:id="rId4"/>
      <w:footerReference w:type="first" r:id="rId5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egoe UI">
    <w:panose1 w:val="020B0502040204020203"/>
    <w:charset w:val="00"/>
    <w:notTrueType w:val="false"/>
    <w:sig w:usb0="E4002EFF" w:usb1="C000E47F" w:usb2="00000009" w:usb3="00000001" w:csb0="200001FF" w:csb1="00000001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&quot;Times New Roman&quot;">
    <w:charset w:val="00"/>
    <w:notTrueType w:val="false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rPr>
        <w:rFonts w:ascii="Arial" w:hAnsi="Arial" w:cs="Arial"/>
      </w:rPr>
      <w:id w:val="-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0000"/>
      </w:rPr>
    </w:sdtEndPr>
    <w:sdtContent>
      <w:sdt>
        <w:sdtPr>
          <w:id w:val="-1"/>
          <w:docPartObj>
            <w:docPartGallery w:val="Page Numbers (Bottom of Page)"/>
            <w:docPartUnique/>
          </w:docPartObj>
        </w:sdtPr>
        <w:sdtContent>
          <w:p>
            <w:pPr>
              <w:pStyle w:val="affa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rPr>
        <w:lang w:eastAsia="ru-RU"/>
        <w:noProof/>
      </w:rPr>
      <w:drawing>
        <wp:inline distT="0" distB="0" distL="0" distR="0">
          <wp:extent cx="1941217" cy="457023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217" cy="457023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7f7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ff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7fff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fff73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qFormat/>
    <w:pPr>
      <w:ind w:left="720"/>
      <w:contextualSpacing/>
    </w:pPr>
  </w:style>
  <w:style w:type="character" w:styleId="afa">
    <w:name w:val="Hyperlink"/>
    <w:basedOn w:val="a2"/>
    <w:rPr>
      <w:color w:val="000000"/>
      <w:u w:val="single" w:color="auto"/>
    </w:rPr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header" Target="header2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1" Type="http://schemas.openxmlformats.org/officeDocument/2006/relationships/image" Target="media/image1.pn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numbering" Target="numbering.xml" /><Relationship Id="rId11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2022-02-11T06:42:24Z</dcterms:created>
  <dcterms:modified xsi:type="dcterms:W3CDTF">2022-08-10T10:48:22Z</dcterms:modified>
  <cp:version>0900.0100.01</cp:version>
</cp:coreProperties>
</file>